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A4ED3" w:rsidRPr="002F65E9" w:rsidTr="006816EC">
        <w:trPr>
          <w:jc w:val="center"/>
        </w:trPr>
        <w:tc>
          <w:tcPr>
            <w:tcW w:w="743" w:type="dxa"/>
            <w:hideMark/>
          </w:tcPr>
          <w:p w:rsidR="006816EC" w:rsidRPr="002F65E9" w:rsidRDefault="00FB3C14">
            <w:pPr>
              <w:jc w:val="both"/>
              <w:rPr>
                <w:rFonts w:ascii="FrankRuehl" w:hAnsi="FrankRuehl" w:cs="FrankRuehl"/>
                <w:b/>
                <w:bCs/>
                <w:sz w:val="28"/>
                <w:szCs w:val="28"/>
              </w:rPr>
            </w:pPr>
            <w:bookmarkStart w:id="0" w:name="_GoBack"/>
            <w:bookmarkEnd w:id="0"/>
            <w:r w:rsidRPr="002F65E9">
              <w:rPr>
                <w:rFonts w:ascii="FrankRuehl" w:hAnsi="FrankRuehl" w:cs="FrankRuehl"/>
                <w:b/>
                <w:bCs/>
                <w:sz w:val="28"/>
                <w:szCs w:val="28"/>
                <w:rtl/>
              </w:rPr>
              <w:t>ל</w:t>
            </w:r>
            <w:r w:rsidR="006816EC" w:rsidRPr="002F65E9">
              <w:rPr>
                <w:rFonts w:ascii="FrankRuehl" w:hAnsi="FrankRuehl" w:cs="FrankRuehl"/>
                <w:b/>
                <w:bCs/>
                <w:sz w:val="28"/>
                <w:szCs w:val="28"/>
                <w:rtl/>
              </w:rPr>
              <w:t xml:space="preserve">פני </w:t>
            </w:r>
          </w:p>
        </w:tc>
        <w:tc>
          <w:tcPr>
            <w:tcW w:w="8077" w:type="dxa"/>
            <w:gridSpan w:val="2"/>
            <w:hideMark/>
          </w:tcPr>
          <w:p w:rsidR="006816EC" w:rsidRPr="002F65E9" w:rsidRDefault="00B32C61" w:rsidP="006816EC">
            <w:pPr>
              <w:rPr>
                <w:rFonts w:ascii="FrankRuehl" w:hAnsi="FrankRuehl" w:cs="FrankRuehl"/>
                <w:b/>
                <w:bCs/>
                <w:sz w:val="28"/>
                <w:szCs w:val="28"/>
                <w:rtl/>
              </w:rPr>
            </w:pPr>
            <w:r w:rsidRPr="002F65E9">
              <w:rPr>
                <w:rFonts w:ascii="FrankRuehl" w:hAnsi="FrankRuehl" w:cs="FrankRuehl"/>
                <w:b/>
                <w:bCs/>
                <w:sz w:val="28"/>
                <w:szCs w:val="28"/>
                <w:rtl/>
              </w:rPr>
              <w:t>כבוד</w:t>
            </w:r>
            <w:r w:rsidR="006816EC" w:rsidRPr="002F65E9">
              <w:rPr>
                <w:rFonts w:ascii="FrankRuehl" w:hAnsi="FrankRuehl" w:cs="FrankRuehl"/>
                <w:b/>
                <w:bCs/>
                <w:sz w:val="28"/>
                <w:szCs w:val="28"/>
                <w:rtl/>
              </w:rPr>
              <w:t xml:space="preserve"> ה</w:t>
            </w:r>
            <w:r w:rsidRPr="002F65E9">
              <w:rPr>
                <w:rFonts w:ascii="FrankRuehl" w:hAnsi="FrankRuehl" w:cs="FrankRuehl"/>
                <w:b/>
                <w:bCs/>
                <w:sz w:val="28"/>
                <w:szCs w:val="28"/>
                <w:rtl/>
              </w:rPr>
              <w:t>שופטת</w:t>
            </w:r>
            <w:r w:rsidR="006816EC" w:rsidRPr="002F65E9">
              <w:rPr>
                <w:rFonts w:ascii="FrankRuehl" w:hAnsi="FrankRuehl" w:cs="FrankRuehl"/>
                <w:b/>
                <w:bCs/>
                <w:sz w:val="28"/>
                <w:szCs w:val="28"/>
                <w:rtl/>
              </w:rPr>
              <w:t xml:space="preserve">  </w:t>
            </w:r>
            <w:r w:rsidRPr="002F65E9">
              <w:rPr>
                <w:rFonts w:ascii="FrankRuehl" w:hAnsi="FrankRuehl" w:cs="FrankRuehl"/>
                <w:b/>
                <w:bCs/>
                <w:sz w:val="28"/>
                <w:szCs w:val="28"/>
                <w:rtl/>
              </w:rPr>
              <w:t>הילה גורביץ עובדיה</w:t>
            </w:r>
          </w:p>
          <w:p w:rsidR="006816EC" w:rsidRPr="002F65E9" w:rsidRDefault="006816EC" w:rsidP="006816EC">
            <w:pPr>
              <w:rPr>
                <w:rFonts w:ascii="FrankRuehl" w:hAnsi="FrankRuehl" w:cs="FrankRuehl"/>
                <w:sz w:val="28"/>
                <w:szCs w:val="28"/>
              </w:rPr>
            </w:pPr>
          </w:p>
        </w:tc>
      </w:tr>
      <w:tr w:rsidR="004A4ED3" w:rsidRPr="002F65E9" w:rsidTr="006816EC">
        <w:trPr>
          <w:jc w:val="center"/>
        </w:trPr>
        <w:tc>
          <w:tcPr>
            <w:tcW w:w="3249" w:type="dxa"/>
            <w:gridSpan w:val="2"/>
          </w:tcPr>
          <w:p w:rsidR="00960CFC" w:rsidRPr="002F65E9" w:rsidRDefault="002F65E9" w:rsidP="00B0028F">
            <w:pPr>
              <w:rPr>
                <w:rFonts w:ascii="FrankRuehl" w:hAnsi="FrankRuehl" w:cs="FrankRuehl"/>
                <w:b/>
                <w:bCs/>
                <w:sz w:val="28"/>
                <w:szCs w:val="28"/>
              </w:rPr>
            </w:pPr>
            <w:r>
              <w:rPr>
                <w:rFonts w:ascii="FrankRuehl" w:hAnsi="FrankRuehl" w:cs="FrankRuehl" w:hint="cs"/>
                <w:b/>
                <w:bCs/>
                <w:sz w:val="28"/>
                <w:szCs w:val="28"/>
                <w:rtl/>
              </w:rPr>
              <w:t>התובע:</w:t>
            </w:r>
          </w:p>
        </w:tc>
        <w:tc>
          <w:tcPr>
            <w:tcW w:w="5571" w:type="dxa"/>
          </w:tcPr>
          <w:p w:rsidR="00B0028F" w:rsidRPr="002F65E9" w:rsidRDefault="00B0028F" w:rsidP="00DA07D2">
            <w:pPr>
              <w:rPr>
                <w:rFonts w:ascii="FrankRuehl" w:hAnsi="FrankRuehl" w:cs="FrankRuehl"/>
                <w:b/>
                <w:bCs/>
                <w:sz w:val="28"/>
                <w:szCs w:val="28"/>
                <w:rtl/>
              </w:rPr>
            </w:pPr>
            <w:r w:rsidRPr="002F65E9">
              <w:rPr>
                <w:rFonts w:ascii="FrankRuehl" w:hAnsi="FrankRuehl" w:cs="FrankRuehl"/>
                <w:b/>
                <w:bCs/>
                <w:sz w:val="28"/>
                <w:szCs w:val="28"/>
                <w:rtl/>
              </w:rPr>
              <w:t>ז</w:t>
            </w:r>
            <w:r w:rsidR="00DA07D2">
              <w:rPr>
                <w:rFonts w:ascii="FrankRuehl" w:hAnsi="FrankRuehl" w:cs="FrankRuehl" w:hint="cs"/>
                <w:b/>
                <w:bCs/>
                <w:sz w:val="28"/>
                <w:szCs w:val="28"/>
                <w:rtl/>
              </w:rPr>
              <w:t>'</w:t>
            </w:r>
            <w:r w:rsidR="00FB3C14" w:rsidRPr="002F65E9">
              <w:rPr>
                <w:rFonts w:ascii="FrankRuehl" w:hAnsi="FrankRuehl" w:cs="FrankRuehl"/>
                <w:b/>
                <w:bCs/>
                <w:sz w:val="28"/>
                <w:szCs w:val="28"/>
                <w:rtl/>
              </w:rPr>
              <w:t xml:space="preserve"> ג</w:t>
            </w:r>
            <w:r w:rsidR="00DA07D2">
              <w:rPr>
                <w:rFonts w:ascii="FrankRuehl" w:hAnsi="FrankRuehl" w:cs="FrankRuehl" w:hint="cs"/>
                <w:b/>
                <w:bCs/>
                <w:sz w:val="28"/>
                <w:szCs w:val="28"/>
                <w:rtl/>
              </w:rPr>
              <w:t>'</w:t>
            </w:r>
            <w:r w:rsidR="009C358E" w:rsidRPr="002F65E9">
              <w:rPr>
                <w:rFonts w:ascii="FrankRuehl" w:hAnsi="FrankRuehl" w:cs="FrankRuehl"/>
                <w:b/>
                <w:bCs/>
                <w:sz w:val="28"/>
                <w:szCs w:val="28"/>
                <w:rtl/>
              </w:rPr>
              <w:t xml:space="preserve"> </w:t>
            </w:r>
            <w:r w:rsidR="00FB3C14" w:rsidRPr="002F65E9">
              <w:rPr>
                <w:rFonts w:ascii="FrankRuehl" w:hAnsi="FrankRuehl" w:cs="FrankRuehl"/>
                <w:b/>
                <w:bCs/>
                <w:sz w:val="28"/>
                <w:szCs w:val="28"/>
                <w:rtl/>
              </w:rPr>
              <w:t>ת"ז</w:t>
            </w:r>
            <w:r w:rsidR="009C358E" w:rsidRPr="002F65E9">
              <w:rPr>
                <w:rFonts w:ascii="FrankRuehl" w:hAnsi="FrankRuehl" w:cs="FrankRuehl"/>
                <w:b/>
                <w:bCs/>
                <w:sz w:val="28"/>
                <w:szCs w:val="28"/>
                <w:rtl/>
              </w:rPr>
              <w:t xml:space="preserve"> </w:t>
            </w:r>
            <w:r w:rsidR="00DA07D2">
              <w:rPr>
                <w:rFonts w:ascii="FrankRuehl" w:hAnsi="FrankRuehl" w:cs="FrankRuehl" w:hint="cs"/>
                <w:b/>
                <w:bCs/>
                <w:sz w:val="28"/>
                <w:szCs w:val="28"/>
                <w:rtl/>
              </w:rPr>
              <w:t>--------</w:t>
            </w:r>
            <w:r w:rsidR="00E44DDF" w:rsidRPr="002F65E9">
              <w:rPr>
                <w:rFonts w:ascii="FrankRuehl" w:hAnsi="FrankRuehl" w:cs="FrankRuehl"/>
                <w:b/>
                <w:bCs/>
                <w:sz w:val="28"/>
                <w:szCs w:val="28"/>
                <w:rtl/>
              </w:rPr>
              <w:t xml:space="preserve"> </w:t>
            </w:r>
          </w:p>
          <w:p w:rsidR="006816EC" w:rsidRPr="002F65E9" w:rsidRDefault="00E44DDF">
            <w:pPr>
              <w:rPr>
                <w:rFonts w:ascii="FrankRuehl" w:hAnsi="FrankRuehl" w:cs="FrankRuehl"/>
                <w:b/>
                <w:bCs/>
                <w:sz w:val="28"/>
                <w:szCs w:val="28"/>
              </w:rPr>
            </w:pPr>
            <w:r w:rsidRPr="002F65E9">
              <w:rPr>
                <w:rFonts w:ascii="FrankRuehl" w:hAnsi="FrankRuehl" w:cs="FrankRuehl"/>
                <w:b/>
                <w:bCs/>
                <w:sz w:val="28"/>
                <w:szCs w:val="28"/>
                <w:rtl/>
              </w:rPr>
              <w:t>ע"י ב"כ עוה"ד</w:t>
            </w:r>
            <w:r w:rsidR="008C174B" w:rsidRPr="002F65E9">
              <w:rPr>
                <w:rFonts w:ascii="FrankRuehl" w:hAnsi="FrankRuehl" w:cs="FrankRuehl"/>
                <w:b/>
                <w:bCs/>
                <w:sz w:val="28"/>
                <w:szCs w:val="28"/>
                <w:rtl/>
              </w:rPr>
              <w:t xml:space="preserve"> אחמד מחאג'נה</w:t>
            </w:r>
          </w:p>
        </w:tc>
      </w:tr>
      <w:tr w:rsidR="004A4ED3" w:rsidRPr="002F65E9" w:rsidTr="006816EC">
        <w:trPr>
          <w:jc w:val="center"/>
        </w:trPr>
        <w:tc>
          <w:tcPr>
            <w:tcW w:w="8820" w:type="dxa"/>
            <w:gridSpan w:val="3"/>
          </w:tcPr>
          <w:p w:rsidR="006816EC" w:rsidRPr="002F65E9" w:rsidRDefault="006816EC">
            <w:pPr>
              <w:rPr>
                <w:rFonts w:ascii="FrankRuehl" w:hAnsi="FrankRuehl" w:cs="FrankRuehl"/>
                <w:b/>
                <w:bCs/>
                <w:sz w:val="28"/>
                <w:szCs w:val="28"/>
                <w:rtl/>
              </w:rPr>
            </w:pPr>
          </w:p>
          <w:p w:rsidR="006816EC" w:rsidRPr="002F65E9" w:rsidRDefault="006816EC">
            <w:pPr>
              <w:jc w:val="center"/>
              <w:rPr>
                <w:rFonts w:ascii="FrankRuehl" w:hAnsi="FrankRuehl" w:cs="FrankRuehl"/>
                <w:b/>
                <w:bCs/>
                <w:sz w:val="28"/>
                <w:szCs w:val="28"/>
                <w:rtl/>
              </w:rPr>
            </w:pPr>
            <w:r w:rsidRPr="002F65E9">
              <w:rPr>
                <w:rFonts w:ascii="FrankRuehl" w:hAnsi="FrankRuehl" w:cs="FrankRuehl"/>
                <w:b/>
                <w:bCs/>
                <w:sz w:val="28"/>
                <w:szCs w:val="28"/>
                <w:rtl/>
              </w:rPr>
              <w:t>נגד</w:t>
            </w:r>
          </w:p>
          <w:p w:rsidR="006816EC" w:rsidRPr="002F65E9" w:rsidRDefault="006816EC">
            <w:pPr>
              <w:rPr>
                <w:rFonts w:ascii="FrankRuehl" w:hAnsi="FrankRuehl" w:cs="FrankRuehl"/>
                <w:b/>
                <w:bCs/>
                <w:sz w:val="28"/>
                <w:szCs w:val="28"/>
              </w:rPr>
            </w:pPr>
          </w:p>
        </w:tc>
      </w:tr>
      <w:tr w:rsidR="004A4ED3" w:rsidRPr="002F65E9" w:rsidTr="006816EC">
        <w:trPr>
          <w:jc w:val="center"/>
        </w:trPr>
        <w:tc>
          <w:tcPr>
            <w:tcW w:w="3249" w:type="dxa"/>
            <w:gridSpan w:val="2"/>
          </w:tcPr>
          <w:p w:rsidR="006816EC" w:rsidRPr="002F65E9" w:rsidRDefault="002F65E9" w:rsidP="00B0028F">
            <w:pPr>
              <w:rPr>
                <w:rFonts w:ascii="FrankRuehl" w:hAnsi="FrankRuehl" w:cs="FrankRuehl"/>
                <w:b/>
                <w:bCs/>
                <w:sz w:val="28"/>
                <w:szCs w:val="28"/>
              </w:rPr>
            </w:pPr>
            <w:r>
              <w:rPr>
                <w:rFonts w:ascii="FrankRuehl" w:hAnsi="FrankRuehl" w:cs="FrankRuehl" w:hint="cs"/>
                <w:b/>
                <w:bCs/>
                <w:sz w:val="28"/>
                <w:szCs w:val="28"/>
                <w:rtl/>
              </w:rPr>
              <w:t>הנתבעת:</w:t>
            </w:r>
          </w:p>
        </w:tc>
        <w:tc>
          <w:tcPr>
            <w:tcW w:w="5571" w:type="dxa"/>
          </w:tcPr>
          <w:p w:rsidR="00B0028F" w:rsidRPr="002F65E9" w:rsidRDefault="00FB3C14" w:rsidP="00DA07D2">
            <w:pPr>
              <w:rPr>
                <w:rFonts w:ascii="FrankRuehl" w:hAnsi="FrankRuehl" w:cs="FrankRuehl"/>
                <w:b/>
                <w:bCs/>
                <w:sz w:val="28"/>
                <w:szCs w:val="28"/>
                <w:rtl/>
              </w:rPr>
            </w:pPr>
            <w:r w:rsidRPr="002F65E9">
              <w:rPr>
                <w:rFonts w:ascii="FrankRuehl" w:hAnsi="FrankRuehl" w:cs="FrankRuehl"/>
                <w:b/>
                <w:bCs/>
                <w:sz w:val="28"/>
                <w:szCs w:val="28"/>
                <w:rtl/>
              </w:rPr>
              <w:t>ס</w:t>
            </w:r>
            <w:r w:rsidR="00DA07D2">
              <w:rPr>
                <w:rFonts w:ascii="FrankRuehl" w:hAnsi="FrankRuehl" w:cs="FrankRuehl" w:hint="cs"/>
                <w:b/>
                <w:bCs/>
                <w:sz w:val="28"/>
                <w:szCs w:val="28"/>
                <w:rtl/>
              </w:rPr>
              <w:t>'</w:t>
            </w:r>
            <w:r w:rsidRPr="002F65E9">
              <w:rPr>
                <w:rFonts w:ascii="FrankRuehl" w:hAnsi="FrankRuehl" w:cs="FrankRuehl"/>
                <w:b/>
                <w:bCs/>
                <w:sz w:val="28"/>
                <w:szCs w:val="28"/>
                <w:rtl/>
              </w:rPr>
              <w:t xml:space="preserve"> ב</w:t>
            </w:r>
            <w:r w:rsidR="00DA07D2">
              <w:rPr>
                <w:rFonts w:ascii="FrankRuehl" w:hAnsi="FrankRuehl" w:cs="FrankRuehl" w:hint="cs"/>
                <w:b/>
                <w:bCs/>
                <w:sz w:val="28"/>
                <w:szCs w:val="28"/>
                <w:rtl/>
              </w:rPr>
              <w:t xml:space="preserve">' </w:t>
            </w:r>
            <w:r w:rsidRPr="002F65E9">
              <w:rPr>
                <w:rFonts w:ascii="FrankRuehl" w:hAnsi="FrankRuehl" w:cs="FrankRuehl"/>
                <w:b/>
                <w:bCs/>
                <w:sz w:val="28"/>
                <w:szCs w:val="28"/>
                <w:rtl/>
              </w:rPr>
              <w:t>ת"ז</w:t>
            </w:r>
            <w:r w:rsidR="00DA07D2">
              <w:rPr>
                <w:rFonts w:ascii="FrankRuehl" w:hAnsi="FrankRuehl" w:cs="FrankRuehl" w:hint="cs"/>
                <w:sz w:val="28"/>
                <w:szCs w:val="28"/>
                <w:rtl/>
              </w:rPr>
              <w:t xml:space="preserve"> --------</w:t>
            </w:r>
            <w:r w:rsidR="00E44DDF" w:rsidRPr="002F65E9">
              <w:rPr>
                <w:rFonts w:ascii="FrankRuehl" w:hAnsi="FrankRuehl" w:cs="FrankRuehl"/>
                <w:sz w:val="28"/>
                <w:szCs w:val="28"/>
                <w:rtl/>
              </w:rPr>
              <w:t xml:space="preserve"> </w:t>
            </w:r>
          </w:p>
          <w:p w:rsidR="006816EC" w:rsidRPr="002F65E9" w:rsidRDefault="00E44DDF">
            <w:pPr>
              <w:rPr>
                <w:rFonts w:ascii="FrankRuehl" w:hAnsi="FrankRuehl" w:cs="FrankRuehl"/>
                <w:b/>
                <w:bCs/>
                <w:sz w:val="28"/>
                <w:szCs w:val="28"/>
              </w:rPr>
            </w:pPr>
            <w:r w:rsidRPr="002F65E9">
              <w:rPr>
                <w:rFonts w:ascii="FrankRuehl" w:hAnsi="FrankRuehl" w:cs="FrankRuehl"/>
                <w:b/>
                <w:bCs/>
                <w:sz w:val="28"/>
                <w:szCs w:val="28"/>
                <w:rtl/>
              </w:rPr>
              <w:t>ע"י ב"כ עוה"ד</w:t>
            </w:r>
            <w:r w:rsidR="008C174B" w:rsidRPr="002F65E9">
              <w:rPr>
                <w:rFonts w:ascii="FrankRuehl" w:hAnsi="FrankRuehl" w:cs="FrankRuehl"/>
                <w:b/>
                <w:bCs/>
                <w:sz w:val="28"/>
                <w:szCs w:val="28"/>
                <w:rtl/>
              </w:rPr>
              <w:t xml:space="preserve"> מוחמד גרה</w:t>
            </w:r>
          </w:p>
        </w:tc>
      </w:tr>
      <w:tr w:rsidR="004A4ED3" w:rsidRPr="002F65E9">
        <w:trPr>
          <w:jc w:val="center"/>
        </w:trPr>
        <w:tc>
          <w:tcPr>
            <w:tcW w:w="8820" w:type="dxa"/>
            <w:gridSpan w:val="3"/>
          </w:tcPr>
          <w:p w:rsidR="002F65E9" w:rsidRPr="002F65E9" w:rsidRDefault="002F65E9">
            <w:pPr>
              <w:bidi w:val="0"/>
              <w:jc w:val="center"/>
              <w:rPr>
                <w:rFonts w:ascii="FrankRuehl" w:hAnsi="FrankRuehl" w:cs="FrankRuehl"/>
                <w:b/>
                <w:bCs/>
                <w:sz w:val="28"/>
                <w:szCs w:val="28"/>
                <w:u w:val="single"/>
                <w:rtl/>
              </w:rPr>
            </w:pPr>
          </w:p>
          <w:p w:rsidR="00694556" w:rsidRPr="002F65E9" w:rsidRDefault="00005C8B" w:rsidP="002F65E9">
            <w:pPr>
              <w:bidi w:val="0"/>
              <w:jc w:val="center"/>
              <w:rPr>
                <w:rFonts w:ascii="FrankRuehl" w:hAnsi="FrankRuehl" w:cs="FrankRuehl"/>
                <w:b/>
                <w:bCs/>
                <w:sz w:val="36"/>
                <w:szCs w:val="36"/>
                <w:u w:val="single"/>
                <w:rtl/>
              </w:rPr>
            </w:pPr>
            <w:r w:rsidRPr="002F65E9">
              <w:rPr>
                <w:rFonts w:ascii="FrankRuehl" w:hAnsi="FrankRuehl" w:cs="FrankRuehl"/>
                <w:b/>
                <w:bCs/>
                <w:sz w:val="36"/>
                <w:szCs w:val="36"/>
                <w:u w:val="single"/>
                <w:rtl/>
              </w:rPr>
              <w:t>פסק דין</w:t>
            </w:r>
          </w:p>
          <w:p w:rsidR="002F65E9" w:rsidRPr="002F65E9" w:rsidRDefault="002F65E9" w:rsidP="002F65E9">
            <w:pPr>
              <w:bidi w:val="0"/>
              <w:jc w:val="center"/>
              <w:rPr>
                <w:rFonts w:ascii="FrankRuehl" w:hAnsi="FrankRuehl" w:cs="FrankRuehl"/>
                <w:b/>
                <w:bCs/>
                <w:sz w:val="28"/>
                <w:szCs w:val="28"/>
                <w:u w:val="single"/>
              </w:rPr>
            </w:pPr>
          </w:p>
        </w:tc>
      </w:tr>
    </w:tbl>
    <w:p w:rsidR="00B0028F" w:rsidRPr="002F65E9" w:rsidRDefault="00B0028F" w:rsidP="002F65E9">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הצדדים, בני זוג לשעבר, אשר נישאו ביום 23</w:t>
      </w:r>
      <w:r w:rsidR="002F65E9" w:rsidRPr="002F65E9">
        <w:rPr>
          <w:rFonts w:ascii="FrankRuehl" w:hAnsi="FrankRuehl" w:cs="FrankRuehl"/>
          <w:sz w:val="28"/>
          <w:szCs w:val="28"/>
          <w:rtl/>
        </w:rPr>
        <w:t>/</w:t>
      </w:r>
      <w:r w:rsidRPr="002F65E9">
        <w:rPr>
          <w:rFonts w:ascii="FrankRuehl" w:hAnsi="FrankRuehl" w:cs="FrankRuehl"/>
          <w:sz w:val="28"/>
          <w:szCs w:val="28"/>
          <w:rtl/>
        </w:rPr>
        <w:t>10</w:t>
      </w:r>
      <w:r w:rsidR="002F65E9" w:rsidRPr="002F65E9">
        <w:rPr>
          <w:rFonts w:ascii="FrankRuehl" w:hAnsi="FrankRuehl" w:cs="FrankRuehl"/>
          <w:sz w:val="28"/>
          <w:szCs w:val="28"/>
          <w:rtl/>
        </w:rPr>
        <w:t>/</w:t>
      </w:r>
      <w:r w:rsidRPr="002F65E9">
        <w:rPr>
          <w:rFonts w:ascii="FrankRuehl" w:hAnsi="FrankRuehl" w:cs="FrankRuehl"/>
          <w:sz w:val="28"/>
          <w:szCs w:val="28"/>
          <w:rtl/>
        </w:rPr>
        <w:t>1997 והתגרשו ביום 10</w:t>
      </w:r>
      <w:r w:rsidR="002F65E9">
        <w:rPr>
          <w:rFonts w:ascii="FrankRuehl" w:hAnsi="FrankRuehl" w:cs="FrankRuehl" w:hint="cs"/>
          <w:sz w:val="28"/>
          <w:szCs w:val="28"/>
          <w:rtl/>
        </w:rPr>
        <w:t>/</w:t>
      </w:r>
      <w:r w:rsidRPr="002F65E9">
        <w:rPr>
          <w:rFonts w:ascii="FrankRuehl" w:hAnsi="FrankRuehl" w:cs="FrankRuehl"/>
          <w:sz w:val="28"/>
          <w:szCs w:val="28"/>
          <w:rtl/>
        </w:rPr>
        <w:t>3</w:t>
      </w:r>
      <w:r w:rsidR="002F65E9">
        <w:rPr>
          <w:rFonts w:ascii="FrankRuehl" w:hAnsi="FrankRuehl" w:cs="FrankRuehl" w:hint="cs"/>
          <w:sz w:val="28"/>
          <w:szCs w:val="28"/>
          <w:rtl/>
        </w:rPr>
        <w:t>/</w:t>
      </w:r>
      <w:r w:rsidRPr="002F65E9">
        <w:rPr>
          <w:rFonts w:ascii="FrankRuehl" w:hAnsi="FrankRuehl" w:cs="FrankRuehl"/>
          <w:sz w:val="28"/>
          <w:szCs w:val="28"/>
          <w:rtl/>
        </w:rPr>
        <w:t>2019</w:t>
      </w:r>
      <w:r w:rsidR="002F65E9">
        <w:rPr>
          <w:rFonts w:ascii="FrankRuehl" w:hAnsi="FrankRuehl" w:cs="FrankRuehl"/>
          <w:sz w:val="28"/>
          <w:szCs w:val="28"/>
          <w:rtl/>
        </w:rPr>
        <w:t xml:space="preserve"> ולהם 5 ילדים משותפים, </w:t>
      </w:r>
      <w:r w:rsidR="002F65E9">
        <w:rPr>
          <w:rFonts w:ascii="FrankRuehl" w:hAnsi="FrankRuehl" w:cs="FrankRuehl" w:hint="cs"/>
          <w:sz w:val="28"/>
          <w:szCs w:val="28"/>
          <w:rtl/>
        </w:rPr>
        <w:t xml:space="preserve">אשר </w:t>
      </w:r>
      <w:r w:rsidR="00422776" w:rsidRPr="002F65E9">
        <w:rPr>
          <w:rFonts w:ascii="FrankRuehl" w:hAnsi="FrankRuehl" w:cs="FrankRuehl"/>
          <w:sz w:val="28"/>
          <w:szCs w:val="28"/>
          <w:rtl/>
        </w:rPr>
        <w:t>במועדים הרלוונטיים 3 מהם היו קטינים (כיום 2 קטינים).</w:t>
      </w:r>
    </w:p>
    <w:p w:rsidR="00422776" w:rsidRPr="002F65E9" w:rsidRDefault="00422776" w:rsidP="00422776">
      <w:pPr>
        <w:pStyle w:val="af0"/>
        <w:spacing w:line="360" w:lineRule="auto"/>
        <w:ind w:left="360"/>
        <w:jc w:val="both"/>
        <w:rPr>
          <w:rFonts w:ascii="FrankRuehl" w:hAnsi="FrankRuehl" w:cs="FrankRuehl"/>
          <w:sz w:val="28"/>
          <w:szCs w:val="28"/>
        </w:rPr>
      </w:pPr>
    </w:p>
    <w:p w:rsidR="00B0028F" w:rsidRPr="002F65E9" w:rsidRDefault="00B0028F" w:rsidP="002F65E9">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במהלך החיים המשותפים התגוררו הצדדים בדירה שבבעלות ה</w:t>
      </w:r>
      <w:r w:rsidR="008C174B" w:rsidRPr="002F65E9">
        <w:rPr>
          <w:rFonts w:ascii="FrankRuehl" w:hAnsi="FrankRuehl" w:cs="FrankRuehl"/>
          <w:sz w:val="28"/>
          <w:szCs w:val="28"/>
          <w:rtl/>
        </w:rPr>
        <w:t>תובע</w:t>
      </w:r>
      <w:r w:rsidR="00452ACD" w:rsidRPr="002F65E9">
        <w:rPr>
          <w:rFonts w:ascii="FrankRuehl" w:hAnsi="FrankRuehl" w:cs="FrankRuehl"/>
          <w:sz w:val="28"/>
          <w:szCs w:val="28"/>
          <w:rtl/>
        </w:rPr>
        <w:t xml:space="preserve"> (להלן: </w:t>
      </w:r>
      <w:r w:rsidR="00452ACD" w:rsidRPr="002F65E9">
        <w:rPr>
          <w:rFonts w:ascii="FrankRuehl" w:hAnsi="FrankRuehl" w:cs="FrankRuehl"/>
          <w:b/>
          <w:bCs/>
          <w:sz w:val="28"/>
          <w:szCs w:val="28"/>
          <w:rtl/>
        </w:rPr>
        <w:t>"הדירה"</w:t>
      </w:r>
      <w:r w:rsidR="00452ACD" w:rsidRPr="002F65E9">
        <w:rPr>
          <w:rFonts w:ascii="FrankRuehl" w:hAnsi="FrankRuehl" w:cs="FrankRuehl"/>
          <w:sz w:val="28"/>
          <w:szCs w:val="28"/>
          <w:rtl/>
        </w:rPr>
        <w:t>)</w:t>
      </w:r>
      <w:r w:rsidRPr="002F65E9">
        <w:rPr>
          <w:rFonts w:ascii="FrankRuehl" w:hAnsi="FrankRuehl" w:cs="FrankRuehl"/>
          <w:sz w:val="28"/>
          <w:szCs w:val="28"/>
          <w:rtl/>
        </w:rPr>
        <w:t>. טענת ה</w:t>
      </w:r>
      <w:r w:rsidR="008C174B" w:rsidRPr="002F65E9">
        <w:rPr>
          <w:rFonts w:ascii="FrankRuehl" w:hAnsi="FrankRuehl" w:cs="FrankRuehl"/>
          <w:sz w:val="28"/>
          <w:szCs w:val="28"/>
          <w:rtl/>
        </w:rPr>
        <w:t xml:space="preserve">נתבעת </w:t>
      </w:r>
      <w:r w:rsidRPr="002F65E9">
        <w:rPr>
          <w:rFonts w:ascii="FrankRuehl" w:hAnsi="FrankRuehl" w:cs="FrankRuehl"/>
          <w:sz w:val="28"/>
          <w:szCs w:val="28"/>
          <w:rtl/>
        </w:rPr>
        <w:t>לזכויות בדירה נדחו בפסק דין שניתן ביום 13</w:t>
      </w:r>
      <w:r w:rsidR="002F65E9">
        <w:rPr>
          <w:rFonts w:ascii="FrankRuehl" w:hAnsi="FrankRuehl" w:cs="FrankRuehl" w:hint="cs"/>
          <w:sz w:val="28"/>
          <w:szCs w:val="28"/>
          <w:rtl/>
        </w:rPr>
        <w:t>/</w:t>
      </w:r>
      <w:r w:rsidRPr="002F65E9">
        <w:rPr>
          <w:rFonts w:ascii="FrankRuehl" w:hAnsi="FrankRuehl" w:cs="FrankRuehl"/>
          <w:sz w:val="28"/>
          <w:szCs w:val="28"/>
          <w:rtl/>
        </w:rPr>
        <w:t>11</w:t>
      </w:r>
      <w:r w:rsidR="002F65E9">
        <w:rPr>
          <w:rFonts w:ascii="FrankRuehl" w:hAnsi="FrankRuehl" w:cs="FrankRuehl" w:hint="cs"/>
          <w:sz w:val="28"/>
          <w:szCs w:val="28"/>
          <w:rtl/>
        </w:rPr>
        <w:t>/2022</w:t>
      </w:r>
      <w:r w:rsidRPr="002F65E9">
        <w:rPr>
          <w:rFonts w:ascii="FrankRuehl" w:hAnsi="FrankRuehl" w:cs="FrankRuehl"/>
          <w:sz w:val="28"/>
          <w:szCs w:val="28"/>
          <w:rtl/>
        </w:rPr>
        <w:t xml:space="preserve"> בהליך תלה"מ 41667-09-20</w:t>
      </w:r>
      <w:r w:rsidR="00452ACD" w:rsidRPr="002F65E9">
        <w:rPr>
          <w:rFonts w:ascii="FrankRuehl" w:hAnsi="FrankRuehl" w:cs="FrankRuehl"/>
          <w:sz w:val="28"/>
          <w:szCs w:val="28"/>
          <w:rtl/>
        </w:rPr>
        <w:t xml:space="preserve"> ובהליך תביעת פינוי שהגיש הנתבע בהליך תלה"מ 38169-10-19. נפסק שם כי על הנתבעת לפנות את הדירה עד ליום 10</w:t>
      </w:r>
      <w:r w:rsidR="002F65E9">
        <w:rPr>
          <w:rFonts w:ascii="FrankRuehl" w:hAnsi="FrankRuehl" w:cs="FrankRuehl" w:hint="cs"/>
          <w:sz w:val="28"/>
          <w:szCs w:val="28"/>
          <w:rtl/>
        </w:rPr>
        <w:t>/</w:t>
      </w:r>
      <w:r w:rsidR="00452ACD" w:rsidRPr="002F65E9">
        <w:rPr>
          <w:rFonts w:ascii="FrankRuehl" w:hAnsi="FrankRuehl" w:cs="FrankRuehl"/>
          <w:sz w:val="28"/>
          <w:szCs w:val="28"/>
          <w:rtl/>
        </w:rPr>
        <w:t>12</w:t>
      </w:r>
      <w:r w:rsidR="002F65E9">
        <w:rPr>
          <w:rFonts w:ascii="FrankRuehl" w:hAnsi="FrankRuehl" w:cs="FrankRuehl" w:hint="cs"/>
          <w:sz w:val="28"/>
          <w:szCs w:val="28"/>
          <w:rtl/>
        </w:rPr>
        <w:t>/</w:t>
      </w:r>
      <w:r w:rsidR="00452ACD" w:rsidRPr="002F65E9">
        <w:rPr>
          <w:rFonts w:ascii="FrankRuehl" w:hAnsi="FrankRuehl" w:cs="FrankRuehl"/>
          <w:sz w:val="28"/>
          <w:szCs w:val="28"/>
          <w:rtl/>
        </w:rPr>
        <w:t xml:space="preserve">2022. עוד נפסק שם כי על התובע לשלם לנתבעת סך 120,000 ₪ בגין מדור עתידי למשך 5 שנים מיום הפירוד כשסכום זה מקוזז במסגרת איזון המשאבים. </w:t>
      </w:r>
      <w:r w:rsidRPr="002F65E9">
        <w:rPr>
          <w:rFonts w:ascii="FrankRuehl" w:hAnsi="FrankRuehl" w:cs="FrankRuehl"/>
          <w:sz w:val="28"/>
          <w:szCs w:val="28"/>
          <w:rtl/>
        </w:rPr>
        <w:t>עוד הוכרעו שם טענות הצדדים בעני</w:t>
      </w:r>
      <w:r w:rsidR="00220323" w:rsidRPr="002F65E9">
        <w:rPr>
          <w:rFonts w:ascii="FrankRuehl" w:hAnsi="FrankRuehl" w:cs="FrankRuehl"/>
          <w:sz w:val="28"/>
          <w:szCs w:val="28"/>
          <w:rtl/>
        </w:rPr>
        <w:t>י</w:t>
      </w:r>
      <w:r w:rsidR="002F65E9">
        <w:rPr>
          <w:rFonts w:ascii="FrankRuehl" w:hAnsi="FrankRuehl" w:cs="FrankRuehl"/>
          <w:sz w:val="28"/>
          <w:szCs w:val="28"/>
          <w:rtl/>
        </w:rPr>
        <w:t>ן איזון משאבים וטענות נוספות.</w:t>
      </w:r>
    </w:p>
    <w:p w:rsidR="00B0028F" w:rsidRPr="002F65E9" w:rsidRDefault="00B0028F" w:rsidP="00B0028F">
      <w:pPr>
        <w:pStyle w:val="af0"/>
        <w:rPr>
          <w:rFonts w:ascii="FrankRuehl" w:hAnsi="FrankRuehl" w:cs="FrankRuehl"/>
          <w:sz w:val="28"/>
          <w:szCs w:val="28"/>
        </w:rPr>
      </w:pPr>
    </w:p>
    <w:p w:rsidR="000F1F12" w:rsidRPr="002F65E9" w:rsidRDefault="00B0028F" w:rsidP="002F65E9">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כעת הגיש ה</w:t>
      </w:r>
      <w:r w:rsidR="008C174B" w:rsidRPr="002F65E9">
        <w:rPr>
          <w:rFonts w:ascii="FrankRuehl" w:hAnsi="FrankRuehl" w:cs="FrankRuehl"/>
          <w:sz w:val="28"/>
          <w:szCs w:val="28"/>
          <w:rtl/>
        </w:rPr>
        <w:t xml:space="preserve">תובע </w:t>
      </w:r>
      <w:r w:rsidRPr="002F65E9">
        <w:rPr>
          <w:rFonts w:ascii="FrankRuehl" w:hAnsi="FrankRuehl" w:cs="FrankRuehl"/>
          <w:sz w:val="28"/>
          <w:szCs w:val="28"/>
          <w:rtl/>
        </w:rPr>
        <w:t>תביעה כספית לחיוב ה</w:t>
      </w:r>
      <w:r w:rsidR="008C174B" w:rsidRPr="002F65E9">
        <w:rPr>
          <w:rFonts w:ascii="FrankRuehl" w:hAnsi="FrankRuehl" w:cs="FrankRuehl"/>
          <w:sz w:val="28"/>
          <w:szCs w:val="28"/>
          <w:rtl/>
        </w:rPr>
        <w:t>נתבעת</w:t>
      </w:r>
      <w:r w:rsidRPr="002F65E9">
        <w:rPr>
          <w:rFonts w:ascii="FrankRuehl" w:hAnsi="FrankRuehl" w:cs="FrankRuehl"/>
          <w:sz w:val="28"/>
          <w:szCs w:val="28"/>
          <w:rtl/>
        </w:rPr>
        <w:t xml:space="preserve"> בתשלום סך 478,711 ₪ נכון למועד הגשת התביעה. בתביעה נטען כי לאחר הגירושין התעקשה ה</w:t>
      </w:r>
      <w:r w:rsidR="008C174B" w:rsidRPr="002F65E9">
        <w:rPr>
          <w:rFonts w:ascii="FrankRuehl" w:hAnsi="FrankRuehl" w:cs="FrankRuehl"/>
          <w:sz w:val="28"/>
          <w:szCs w:val="28"/>
          <w:rtl/>
        </w:rPr>
        <w:t>נתבעת</w:t>
      </w:r>
      <w:r w:rsidRPr="002F65E9">
        <w:rPr>
          <w:rFonts w:ascii="FrankRuehl" w:hAnsi="FrankRuehl" w:cs="FrankRuehl"/>
          <w:sz w:val="28"/>
          <w:szCs w:val="28"/>
          <w:rtl/>
        </w:rPr>
        <w:t xml:space="preserve"> להמשיך להתגורר בדירה </w:t>
      </w:r>
      <w:r w:rsidR="008C174B" w:rsidRPr="002F65E9">
        <w:rPr>
          <w:rFonts w:ascii="FrankRuehl" w:hAnsi="FrankRuehl" w:cs="FrankRuehl"/>
          <w:sz w:val="28"/>
          <w:szCs w:val="28"/>
          <w:rtl/>
        </w:rPr>
        <w:t xml:space="preserve">מושא הליך 41667-09-20 </w:t>
      </w:r>
      <w:r w:rsidRPr="002F65E9">
        <w:rPr>
          <w:rFonts w:ascii="FrankRuehl" w:hAnsi="FrankRuehl" w:cs="FrankRuehl"/>
          <w:sz w:val="28"/>
          <w:szCs w:val="28"/>
          <w:rtl/>
        </w:rPr>
        <w:t>ו</w:t>
      </w:r>
      <w:r w:rsidR="008C174B" w:rsidRPr="002F65E9">
        <w:rPr>
          <w:rFonts w:ascii="FrankRuehl" w:hAnsi="FrankRuehl" w:cs="FrankRuehl"/>
          <w:sz w:val="28"/>
          <w:szCs w:val="28"/>
          <w:rtl/>
        </w:rPr>
        <w:t xml:space="preserve">התובע </w:t>
      </w:r>
      <w:r w:rsidRPr="002F65E9">
        <w:rPr>
          <w:rFonts w:ascii="FrankRuehl" w:hAnsi="FrankRuehl" w:cs="FrankRuehl"/>
          <w:sz w:val="28"/>
          <w:szCs w:val="28"/>
          <w:rtl/>
        </w:rPr>
        <w:t xml:space="preserve">נאלץ לעבור להתגורר בקומה </w:t>
      </w:r>
      <w:r w:rsidR="000F1F12" w:rsidRPr="002F65E9">
        <w:rPr>
          <w:rFonts w:ascii="FrankRuehl" w:hAnsi="FrankRuehl" w:cs="FrankRuehl"/>
          <w:sz w:val="28"/>
          <w:szCs w:val="28"/>
          <w:rtl/>
        </w:rPr>
        <w:t>השנייה</w:t>
      </w:r>
      <w:r w:rsidRPr="002F65E9">
        <w:rPr>
          <w:rFonts w:ascii="FrankRuehl" w:hAnsi="FrankRuehl" w:cs="FrankRuehl"/>
          <w:sz w:val="28"/>
          <w:szCs w:val="28"/>
          <w:rtl/>
        </w:rPr>
        <w:t xml:space="preserve"> של הדירה</w:t>
      </w:r>
      <w:r w:rsidR="008C174B" w:rsidRPr="002F65E9">
        <w:rPr>
          <w:rFonts w:ascii="FrankRuehl" w:hAnsi="FrankRuehl" w:cs="FrankRuehl"/>
          <w:sz w:val="28"/>
          <w:szCs w:val="28"/>
          <w:rtl/>
        </w:rPr>
        <w:t xml:space="preserve"> ובהמשך, לאחר שהנתבעת </w:t>
      </w:r>
      <w:r w:rsidRPr="002F65E9">
        <w:rPr>
          <w:rFonts w:ascii="FrankRuehl" w:hAnsi="FrankRuehl" w:cs="FrankRuehl"/>
          <w:sz w:val="28"/>
          <w:szCs w:val="28"/>
          <w:rtl/>
        </w:rPr>
        <w:t>לא א</w:t>
      </w:r>
      <w:r w:rsidR="002F65E9">
        <w:rPr>
          <w:rFonts w:ascii="FrankRuehl" w:hAnsi="FrankRuehl" w:cs="FrankRuehl" w:hint="cs"/>
          <w:sz w:val="28"/>
          <w:szCs w:val="28"/>
          <w:rtl/>
        </w:rPr>
        <w:t>ִ</w:t>
      </w:r>
      <w:r w:rsidRPr="002F65E9">
        <w:rPr>
          <w:rFonts w:ascii="FrankRuehl" w:hAnsi="FrankRuehl" w:cs="FrankRuehl"/>
          <w:sz w:val="28"/>
          <w:szCs w:val="28"/>
          <w:rtl/>
        </w:rPr>
        <w:t>פשרה ל</w:t>
      </w:r>
      <w:r w:rsidR="008C174B" w:rsidRPr="002F65E9">
        <w:rPr>
          <w:rFonts w:ascii="FrankRuehl" w:hAnsi="FrankRuehl" w:cs="FrankRuehl"/>
          <w:sz w:val="28"/>
          <w:szCs w:val="28"/>
          <w:rtl/>
        </w:rPr>
        <w:t>תובע</w:t>
      </w:r>
      <w:r w:rsidRPr="002F65E9">
        <w:rPr>
          <w:rFonts w:ascii="FrankRuehl" w:hAnsi="FrankRuehl" w:cs="FrankRuehl"/>
          <w:sz w:val="28"/>
          <w:szCs w:val="28"/>
          <w:rtl/>
        </w:rPr>
        <w:t xml:space="preserve"> </w:t>
      </w:r>
      <w:r w:rsidR="008C174B" w:rsidRPr="002F65E9">
        <w:rPr>
          <w:rFonts w:ascii="FrankRuehl" w:hAnsi="FrankRuehl" w:cs="FrankRuehl"/>
          <w:sz w:val="28"/>
          <w:szCs w:val="28"/>
          <w:rtl/>
        </w:rPr>
        <w:t>להשתמש ב</w:t>
      </w:r>
      <w:r w:rsidR="002F65E9">
        <w:rPr>
          <w:rFonts w:ascii="FrankRuehl" w:hAnsi="FrankRuehl" w:cs="FrankRuehl"/>
          <w:sz w:val="28"/>
          <w:szCs w:val="28"/>
          <w:rtl/>
        </w:rPr>
        <w:t>מטבח</w:t>
      </w:r>
      <w:r w:rsidRPr="002F65E9">
        <w:rPr>
          <w:rFonts w:ascii="FrankRuehl" w:hAnsi="FrankRuehl" w:cs="FrankRuehl"/>
          <w:sz w:val="28"/>
          <w:szCs w:val="28"/>
          <w:rtl/>
        </w:rPr>
        <w:t xml:space="preserve"> </w:t>
      </w:r>
      <w:r w:rsidR="008B4667" w:rsidRPr="002F65E9">
        <w:rPr>
          <w:rFonts w:ascii="FrankRuehl" w:hAnsi="FrankRuehl" w:cs="FrankRuehl"/>
          <w:sz w:val="28"/>
          <w:szCs w:val="28"/>
          <w:rtl/>
        </w:rPr>
        <w:t xml:space="preserve">עבר </w:t>
      </w:r>
      <w:r w:rsidR="002F65E9">
        <w:rPr>
          <w:rFonts w:ascii="FrankRuehl" w:hAnsi="FrankRuehl" w:cs="FrankRuehl"/>
          <w:sz w:val="28"/>
          <w:szCs w:val="28"/>
          <w:rtl/>
        </w:rPr>
        <w:t>להתגורר בשכ"ד</w:t>
      </w:r>
      <w:r w:rsidR="008C174B" w:rsidRPr="002F65E9">
        <w:rPr>
          <w:rFonts w:ascii="FrankRuehl" w:hAnsi="FrankRuehl" w:cs="FrankRuehl"/>
          <w:sz w:val="28"/>
          <w:szCs w:val="28"/>
          <w:rtl/>
        </w:rPr>
        <w:t xml:space="preserve"> </w:t>
      </w:r>
      <w:r w:rsidRPr="002F65E9">
        <w:rPr>
          <w:rFonts w:ascii="FrankRuehl" w:hAnsi="FrankRuehl" w:cs="FrankRuehl"/>
          <w:sz w:val="28"/>
          <w:szCs w:val="28"/>
          <w:rtl/>
        </w:rPr>
        <w:t xml:space="preserve">החל מיום </w:t>
      </w:r>
      <w:r w:rsidR="002F65E9">
        <w:rPr>
          <w:rFonts w:ascii="FrankRuehl" w:hAnsi="FrankRuehl" w:cs="FrankRuehl" w:hint="cs"/>
          <w:sz w:val="28"/>
          <w:szCs w:val="28"/>
          <w:rtl/>
        </w:rPr>
        <w:t>01/01/</w:t>
      </w:r>
      <w:r w:rsidRPr="002F65E9">
        <w:rPr>
          <w:rFonts w:ascii="FrankRuehl" w:hAnsi="FrankRuehl" w:cs="FrankRuehl"/>
          <w:sz w:val="28"/>
          <w:szCs w:val="28"/>
          <w:rtl/>
        </w:rPr>
        <w:t>2021</w:t>
      </w:r>
      <w:r w:rsidR="008C174B" w:rsidRPr="002F65E9">
        <w:rPr>
          <w:rFonts w:ascii="FrankRuehl" w:hAnsi="FrankRuehl" w:cs="FrankRuehl"/>
          <w:sz w:val="28"/>
          <w:szCs w:val="28"/>
          <w:rtl/>
        </w:rPr>
        <w:t xml:space="preserve">. </w:t>
      </w:r>
    </w:p>
    <w:p w:rsidR="000F1F12" w:rsidRPr="002F65E9" w:rsidRDefault="000F1F12" w:rsidP="000F1F12">
      <w:pPr>
        <w:pStyle w:val="af0"/>
        <w:rPr>
          <w:rFonts w:ascii="FrankRuehl" w:hAnsi="FrankRuehl" w:cs="FrankRuehl"/>
          <w:sz w:val="28"/>
          <w:szCs w:val="28"/>
          <w:rtl/>
        </w:rPr>
      </w:pPr>
    </w:p>
    <w:p w:rsidR="00A46A1F" w:rsidRDefault="008C174B" w:rsidP="00730A21">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התובע טען כי המשיך לשלם </w:t>
      </w:r>
      <w:r w:rsidR="00B0028F" w:rsidRPr="002F65E9">
        <w:rPr>
          <w:rFonts w:ascii="FrankRuehl" w:hAnsi="FrankRuehl" w:cs="FrankRuehl"/>
          <w:sz w:val="28"/>
          <w:szCs w:val="28"/>
          <w:rtl/>
        </w:rPr>
        <w:t xml:space="preserve">את </w:t>
      </w:r>
      <w:r w:rsidRPr="002F65E9">
        <w:rPr>
          <w:rFonts w:ascii="FrankRuehl" w:hAnsi="FrankRuehl" w:cs="FrankRuehl"/>
          <w:sz w:val="28"/>
          <w:szCs w:val="28"/>
          <w:rtl/>
        </w:rPr>
        <w:t xml:space="preserve">תשלומי הארנונה </w:t>
      </w:r>
      <w:r w:rsidR="00730A21" w:rsidRPr="002F65E9">
        <w:rPr>
          <w:rFonts w:ascii="FrankRuehl" w:hAnsi="FrankRuehl" w:cs="FrankRuehl"/>
          <w:sz w:val="28"/>
          <w:szCs w:val="28"/>
          <w:rtl/>
        </w:rPr>
        <w:t xml:space="preserve">(נתבע סך 24,486 ₪) </w:t>
      </w:r>
      <w:r w:rsidRPr="002F65E9">
        <w:rPr>
          <w:rFonts w:ascii="FrankRuehl" w:hAnsi="FrankRuehl" w:cs="FrankRuehl"/>
          <w:sz w:val="28"/>
          <w:szCs w:val="28"/>
          <w:rtl/>
        </w:rPr>
        <w:t>ו</w:t>
      </w:r>
      <w:r w:rsidR="00730A21" w:rsidRPr="002F65E9">
        <w:rPr>
          <w:rFonts w:ascii="FrankRuehl" w:hAnsi="FrankRuehl" w:cs="FrankRuehl"/>
          <w:sz w:val="28"/>
          <w:szCs w:val="28"/>
          <w:rtl/>
        </w:rPr>
        <w:t xml:space="preserve">תשלומי </w:t>
      </w:r>
      <w:r w:rsidRPr="002F65E9">
        <w:rPr>
          <w:rFonts w:ascii="FrankRuehl" w:hAnsi="FrankRuehl" w:cs="FrankRuehl"/>
          <w:sz w:val="28"/>
          <w:szCs w:val="28"/>
          <w:rtl/>
        </w:rPr>
        <w:t xml:space="preserve">החשמל </w:t>
      </w:r>
      <w:r w:rsidR="00730A21" w:rsidRPr="002F65E9">
        <w:rPr>
          <w:rFonts w:ascii="FrankRuehl" w:hAnsi="FrankRuehl" w:cs="FrankRuehl"/>
          <w:sz w:val="28"/>
          <w:szCs w:val="28"/>
          <w:rtl/>
        </w:rPr>
        <w:t xml:space="preserve">(נתבע סך 15,825 ₪) </w:t>
      </w:r>
      <w:r w:rsidRPr="002F65E9">
        <w:rPr>
          <w:rFonts w:ascii="FrankRuehl" w:hAnsi="FrankRuehl" w:cs="FrankRuehl"/>
          <w:sz w:val="28"/>
          <w:szCs w:val="28"/>
          <w:rtl/>
        </w:rPr>
        <w:t>עבור הדירה</w:t>
      </w:r>
      <w:r w:rsidR="009970C1" w:rsidRPr="002F65E9">
        <w:rPr>
          <w:rFonts w:ascii="FrankRuehl" w:hAnsi="FrankRuehl" w:cs="FrankRuehl"/>
          <w:sz w:val="28"/>
          <w:szCs w:val="28"/>
          <w:rtl/>
        </w:rPr>
        <w:t>,</w:t>
      </w:r>
      <w:r w:rsidRPr="002F65E9">
        <w:rPr>
          <w:rFonts w:ascii="FrankRuehl" w:hAnsi="FrankRuehl" w:cs="FrankRuehl"/>
          <w:sz w:val="28"/>
          <w:szCs w:val="28"/>
          <w:rtl/>
        </w:rPr>
        <w:t xml:space="preserve"> דירה בה התגוררה הנתבעת </w:t>
      </w:r>
      <w:r w:rsidR="00B0028F" w:rsidRPr="002F65E9">
        <w:rPr>
          <w:rFonts w:ascii="FrankRuehl" w:hAnsi="FrankRuehl" w:cs="FrankRuehl"/>
          <w:sz w:val="28"/>
          <w:szCs w:val="28"/>
          <w:rtl/>
        </w:rPr>
        <w:t>עד לחודש 3/2021</w:t>
      </w:r>
      <w:r w:rsidRPr="002F65E9">
        <w:rPr>
          <w:rFonts w:ascii="FrankRuehl" w:hAnsi="FrankRuehl" w:cs="FrankRuehl"/>
          <w:sz w:val="28"/>
          <w:szCs w:val="28"/>
          <w:rtl/>
        </w:rPr>
        <w:t xml:space="preserve"> ואת תשלומי חשבונות המים </w:t>
      </w:r>
      <w:r w:rsidR="00730A21" w:rsidRPr="002F65E9">
        <w:rPr>
          <w:rFonts w:ascii="FrankRuehl" w:hAnsi="FrankRuehl" w:cs="FrankRuehl"/>
          <w:sz w:val="28"/>
          <w:szCs w:val="28"/>
          <w:rtl/>
        </w:rPr>
        <w:t xml:space="preserve">(נתבע סך 6,900 ₪) </w:t>
      </w:r>
      <w:r w:rsidRPr="002F65E9">
        <w:rPr>
          <w:rFonts w:ascii="FrankRuehl" w:hAnsi="FrankRuehl" w:cs="FrankRuehl"/>
          <w:sz w:val="28"/>
          <w:szCs w:val="28"/>
          <w:rtl/>
        </w:rPr>
        <w:t>עד לחודש 12/2022.</w:t>
      </w:r>
      <w:r w:rsidR="00764711" w:rsidRPr="002F65E9">
        <w:rPr>
          <w:rFonts w:ascii="FrankRuehl" w:hAnsi="FrankRuehl" w:cs="FrankRuehl"/>
          <w:sz w:val="28"/>
          <w:szCs w:val="28"/>
          <w:rtl/>
        </w:rPr>
        <w:t xml:space="preserve"> עוד נתבעו דמי שימוש ראויים</w:t>
      </w:r>
      <w:r w:rsidR="00533005" w:rsidRPr="002F65E9">
        <w:rPr>
          <w:rFonts w:ascii="FrankRuehl" w:hAnsi="FrankRuehl" w:cs="FrankRuehl"/>
          <w:sz w:val="28"/>
          <w:szCs w:val="28"/>
          <w:rtl/>
        </w:rPr>
        <w:t xml:space="preserve"> סך 184,000 ₪ </w:t>
      </w:r>
      <w:r w:rsidR="00764711" w:rsidRPr="002F65E9">
        <w:rPr>
          <w:rFonts w:ascii="FrankRuehl" w:hAnsi="FrankRuehl" w:cs="FrankRuehl"/>
          <w:sz w:val="28"/>
          <w:szCs w:val="28"/>
          <w:rtl/>
        </w:rPr>
        <w:t>עבור</w:t>
      </w:r>
      <w:r w:rsidR="00B0028F" w:rsidRPr="002F65E9">
        <w:rPr>
          <w:rFonts w:ascii="FrankRuehl" w:hAnsi="FrankRuehl" w:cs="FrankRuehl"/>
          <w:sz w:val="28"/>
          <w:szCs w:val="28"/>
          <w:rtl/>
        </w:rPr>
        <w:t xml:space="preserve"> 46 חודשים</w:t>
      </w:r>
      <w:r w:rsidR="00764711" w:rsidRPr="002F65E9">
        <w:rPr>
          <w:rFonts w:ascii="FrankRuehl" w:hAnsi="FrankRuehl" w:cs="FrankRuehl"/>
          <w:sz w:val="28"/>
          <w:szCs w:val="28"/>
          <w:rtl/>
        </w:rPr>
        <w:t>: מחודש 3/2019 ועד ל</w:t>
      </w:r>
      <w:r w:rsidR="00533005" w:rsidRPr="002F65E9">
        <w:rPr>
          <w:rFonts w:ascii="FrankRuehl" w:hAnsi="FrankRuehl" w:cs="FrankRuehl"/>
          <w:sz w:val="28"/>
          <w:szCs w:val="28"/>
          <w:rtl/>
        </w:rPr>
        <w:t xml:space="preserve">חודש 12/2022. נטען כי סכום דמי השימוש הראויים, על הצד הנמוך הוא </w:t>
      </w:r>
      <w:r w:rsidR="00764711" w:rsidRPr="002F65E9">
        <w:rPr>
          <w:rFonts w:ascii="FrankRuehl" w:hAnsi="FrankRuehl" w:cs="FrankRuehl"/>
          <w:sz w:val="28"/>
          <w:szCs w:val="28"/>
          <w:rtl/>
        </w:rPr>
        <w:t xml:space="preserve">סך </w:t>
      </w:r>
      <w:r w:rsidR="00B0028F" w:rsidRPr="002F65E9">
        <w:rPr>
          <w:rFonts w:ascii="FrankRuehl" w:hAnsi="FrankRuehl" w:cs="FrankRuehl"/>
          <w:sz w:val="28"/>
          <w:szCs w:val="28"/>
          <w:rtl/>
        </w:rPr>
        <w:t xml:space="preserve">4,000 ₪ לחודש; נתבע </w:t>
      </w:r>
      <w:r w:rsidR="00764711" w:rsidRPr="002F65E9">
        <w:rPr>
          <w:rFonts w:ascii="FrankRuehl" w:hAnsi="FrankRuehl" w:cs="FrankRuehl"/>
          <w:sz w:val="28"/>
          <w:szCs w:val="28"/>
          <w:rtl/>
        </w:rPr>
        <w:t xml:space="preserve">גם </w:t>
      </w:r>
      <w:r w:rsidR="00730A21" w:rsidRPr="002F65E9">
        <w:rPr>
          <w:rFonts w:ascii="FrankRuehl" w:hAnsi="FrankRuehl" w:cs="FrankRuehl"/>
          <w:sz w:val="28"/>
          <w:szCs w:val="28"/>
          <w:rtl/>
        </w:rPr>
        <w:t xml:space="preserve">75,000 ₪ </w:t>
      </w:r>
      <w:r w:rsidR="00764711" w:rsidRPr="002F65E9">
        <w:rPr>
          <w:rFonts w:ascii="FrankRuehl" w:hAnsi="FrankRuehl" w:cs="FrankRuehl"/>
          <w:sz w:val="28"/>
          <w:szCs w:val="28"/>
          <w:rtl/>
        </w:rPr>
        <w:t xml:space="preserve">עבור </w:t>
      </w:r>
      <w:r w:rsidR="00B0028F" w:rsidRPr="002F65E9">
        <w:rPr>
          <w:rFonts w:ascii="FrankRuehl" w:hAnsi="FrankRuehl" w:cs="FrankRuehl"/>
          <w:sz w:val="28"/>
          <w:szCs w:val="28"/>
          <w:rtl/>
        </w:rPr>
        <w:t xml:space="preserve">שכר דירה </w:t>
      </w:r>
      <w:r w:rsidR="00764711" w:rsidRPr="002F65E9">
        <w:rPr>
          <w:rFonts w:ascii="FrankRuehl" w:hAnsi="FrankRuehl" w:cs="FrankRuehl"/>
          <w:sz w:val="28"/>
          <w:szCs w:val="28"/>
          <w:rtl/>
        </w:rPr>
        <w:t>ש</w:t>
      </w:r>
      <w:r w:rsidR="006374C7" w:rsidRPr="002F65E9">
        <w:rPr>
          <w:rFonts w:ascii="FrankRuehl" w:hAnsi="FrankRuehl" w:cs="FrankRuehl"/>
          <w:sz w:val="28"/>
          <w:szCs w:val="28"/>
          <w:rtl/>
        </w:rPr>
        <w:t>נטען כי הנתבעת גבתה מאחיה ללא ידיעת התובע, בעת שהתגורר בדירה במהלך החיים המשותפים</w:t>
      </w:r>
      <w:r w:rsidR="00533005" w:rsidRPr="002F65E9">
        <w:rPr>
          <w:rFonts w:ascii="FrankRuehl" w:hAnsi="FrankRuehl" w:cs="FrankRuehl"/>
          <w:sz w:val="28"/>
          <w:szCs w:val="28"/>
          <w:rtl/>
        </w:rPr>
        <w:t xml:space="preserve"> מחודש 10/2013 ועד לחודש 03/2016</w:t>
      </w:r>
      <w:r w:rsidR="00730A21" w:rsidRPr="002F65E9">
        <w:rPr>
          <w:rFonts w:ascii="FrankRuehl" w:hAnsi="FrankRuehl" w:cs="FrankRuehl"/>
          <w:sz w:val="28"/>
          <w:szCs w:val="28"/>
          <w:rtl/>
        </w:rPr>
        <w:t xml:space="preserve">, סך 2,500 ₪ </w:t>
      </w:r>
      <w:r w:rsidR="00730A21" w:rsidRPr="00D5218A">
        <w:rPr>
          <w:rFonts w:ascii="FrankRuehl" w:hAnsi="FrankRuehl" w:cs="FrankRuehl"/>
          <w:sz w:val="20"/>
          <w:szCs w:val="20"/>
        </w:rPr>
        <w:t>X</w:t>
      </w:r>
      <w:r w:rsidR="00730A21" w:rsidRPr="00D5218A">
        <w:rPr>
          <w:rFonts w:ascii="FrankRuehl" w:hAnsi="FrankRuehl" w:cs="FrankRuehl"/>
          <w:sz w:val="20"/>
          <w:szCs w:val="20"/>
          <w:rtl/>
        </w:rPr>
        <w:t xml:space="preserve"> </w:t>
      </w:r>
      <w:r w:rsidR="00730A21" w:rsidRPr="002F65E9">
        <w:rPr>
          <w:rFonts w:ascii="FrankRuehl" w:hAnsi="FrankRuehl" w:cs="FrankRuehl"/>
          <w:sz w:val="28"/>
          <w:szCs w:val="28"/>
          <w:rtl/>
        </w:rPr>
        <w:t>30 חודשים</w:t>
      </w:r>
      <w:r w:rsidR="00764711" w:rsidRPr="002F65E9">
        <w:rPr>
          <w:rFonts w:ascii="FrankRuehl" w:hAnsi="FrankRuehl" w:cs="FrankRuehl"/>
          <w:sz w:val="28"/>
          <w:szCs w:val="28"/>
          <w:rtl/>
        </w:rPr>
        <w:t xml:space="preserve">. </w:t>
      </w:r>
    </w:p>
    <w:p w:rsidR="00B0028F" w:rsidRPr="002F65E9" w:rsidRDefault="00764711" w:rsidP="00730A21">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lastRenderedPageBreak/>
        <w:t>נטען כ</w:t>
      </w:r>
      <w:r w:rsidR="00981228" w:rsidRPr="002F65E9">
        <w:rPr>
          <w:rFonts w:ascii="FrankRuehl" w:hAnsi="FrankRuehl" w:cs="FrankRuehl"/>
          <w:sz w:val="28"/>
          <w:szCs w:val="28"/>
          <w:rtl/>
        </w:rPr>
        <w:t>י</w:t>
      </w:r>
      <w:r w:rsidRPr="002F65E9">
        <w:rPr>
          <w:rFonts w:ascii="FrankRuehl" w:hAnsi="FrankRuehl" w:cs="FrankRuehl"/>
          <w:sz w:val="28"/>
          <w:szCs w:val="28"/>
          <w:rtl/>
        </w:rPr>
        <w:t xml:space="preserve"> התובע לא ידע על תשלומים אלו </w:t>
      </w:r>
      <w:r w:rsidR="00730A21" w:rsidRPr="002F65E9">
        <w:rPr>
          <w:rFonts w:ascii="FrankRuehl" w:hAnsi="FrankRuehl" w:cs="FrankRuehl"/>
          <w:sz w:val="28"/>
          <w:szCs w:val="28"/>
          <w:rtl/>
        </w:rPr>
        <w:t xml:space="preserve">והדבר נודע לו בישיבת שמיעת ראיות שהתקיימה בהליך הקשור ביום 23/12/20021. עוד נתבע מחצית </w:t>
      </w:r>
      <w:r w:rsidR="00B0028F" w:rsidRPr="002F65E9">
        <w:rPr>
          <w:rFonts w:ascii="FrankRuehl" w:hAnsi="FrankRuehl" w:cs="FrankRuehl"/>
          <w:sz w:val="28"/>
          <w:szCs w:val="28"/>
          <w:rtl/>
        </w:rPr>
        <w:t>שווי כלי רכב שהיה משותף לצדדים ונמכר על ידי ה</w:t>
      </w:r>
      <w:r w:rsidRPr="002F65E9">
        <w:rPr>
          <w:rFonts w:ascii="FrankRuehl" w:hAnsi="FrankRuehl" w:cs="FrankRuehl"/>
          <w:sz w:val="28"/>
          <w:szCs w:val="28"/>
          <w:rtl/>
        </w:rPr>
        <w:t>נתבע</w:t>
      </w:r>
      <w:r w:rsidR="00981228" w:rsidRPr="002F65E9">
        <w:rPr>
          <w:rFonts w:ascii="FrankRuehl" w:hAnsi="FrankRuehl" w:cs="FrankRuehl"/>
          <w:sz w:val="28"/>
          <w:szCs w:val="28"/>
          <w:rtl/>
        </w:rPr>
        <w:t>ת</w:t>
      </w:r>
      <w:r w:rsidR="00B0028F" w:rsidRPr="002F65E9">
        <w:rPr>
          <w:rFonts w:ascii="FrankRuehl" w:hAnsi="FrankRuehl" w:cs="FrankRuehl"/>
          <w:sz w:val="28"/>
          <w:szCs w:val="28"/>
          <w:rtl/>
        </w:rPr>
        <w:t xml:space="preserve"> חד צדדית לאחר </w:t>
      </w:r>
      <w:r w:rsidR="00981228" w:rsidRPr="002F65E9">
        <w:rPr>
          <w:rFonts w:ascii="FrankRuehl" w:hAnsi="FrankRuehl" w:cs="FrankRuehl"/>
          <w:sz w:val="28"/>
          <w:szCs w:val="28"/>
          <w:rtl/>
        </w:rPr>
        <w:t xml:space="preserve">מועד </w:t>
      </w:r>
      <w:r w:rsidR="00B0028F" w:rsidRPr="002F65E9">
        <w:rPr>
          <w:rFonts w:ascii="FrankRuehl" w:hAnsi="FrankRuehl" w:cs="FrankRuehl"/>
          <w:sz w:val="28"/>
          <w:szCs w:val="28"/>
          <w:rtl/>
        </w:rPr>
        <w:t>הקרע ותמורתו נותרה בכיסה</w:t>
      </w:r>
      <w:r w:rsidR="00981228" w:rsidRPr="002F65E9">
        <w:rPr>
          <w:rFonts w:ascii="FrankRuehl" w:hAnsi="FrankRuehl" w:cs="FrankRuehl"/>
          <w:sz w:val="28"/>
          <w:szCs w:val="28"/>
          <w:rtl/>
        </w:rPr>
        <w:t>, סך</w:t>
      </w:r>
      <w:r w:rsidR="00730A21" w:rsidRPr="002F65E9">
        <w:rPr>
          <w:rFonts w:ascii="FrankRuehl" w:hAnsi="FrankRuehl" w:cs="FrankRuehl"/>
          <w:sz w:val="28"/>
          <w:szCs w:val="28"/>
          <w:rtl/>
        </w:rPr>
        <w:t xml:space="preserve"> 72,500 ₪ </w:t>
      </w:r>
      <w:r w:rsidR="00B0028F" w:rsidRPr="002F65E9">
        <w:rPr>
          <w:rFonts w:ascii="FrankRuehl" w:hAnsi="FrankRuehl" w:cs="FrankRuehl"/>
          <w:sz w:val="28"/>
          <w:szCs w:val="28"/>
          <w:rtl/>
        </w:rPr>
        <w:t>וגם שווי תכשיטי זהב שנטען כי נטלה ה</w:t>
      </w:r>
      <w:r w:rsidR="00981228" w:rsidRPr="002F65E9">
        <w:rPr>
          <w:rFonts w:ascii="FrankRuehl" w:hAnsi="FrankRuehl" w:cs="FrankRuehl"/>
          <w:sz w:val="28"/>
          <w:szCs w:val="28"/>
          <w:rtl/>
        </w:rPr>
        <w:t xml:space="preserve">נתבעת, סך </w:t>
      </w:r>
      <w:r w:rsidR="00730A21" w:rsidRPr="002F65E9">
        <w:rPr>
          <w:rFonts w:ascii="FrankRuehl" w:hAnsi="FrankRuehl" w:cs="FrankRuehl"/>
          <w:sz w:val="28"/>
          <w:szCs w:val="28"/>
          <w:rtl/>
        </w:rPr>
        <w:t>100,000 ₪.</w:t>
      </w:r>
    </w:p>
    <w:p w:rsidR="008B4667" w:rsidRPr="002F65E9" w:rsidRDefault="008B4667" w:rsidP="00981228">
      <w:pPr>
        <w:pStyle w:val="af0"/>
        <w:spacing w:line="360" w:lineRule="auto"/>
        <w:ind w:left="360"/>
        <w:jc w:val="both"/>
        <w:rPr>
          <w:rFonts w:ascii="FrankRuehl" w:hAnsi="FrankRuehl" w:cs="FrankRuehl"/>
          <w:sz w:val="28"/>
          <w:szCs w:val="28"/>
          <w:rtl/>
        </w:rPr>
      </w:pPr>
    </w:p>
    <w:p w:rsidR="00A46A1F" w:rsidRDefault="00B0028F" w:rsidP="00D5218A">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ה</w:t>
      </w:r>
      <w:r w:rsidR="006374C7" w:rsidRPr="002F65E9">
        <w:rPr>
          <w:rFonts w:ascii="FrankRuehl" w:hAnsi="FrankRuehl" w:cs="FrankRuehl"/>
          <w:sz w:val="28"/>
          <w:szCs w:val="28"/>
          <w:rtl/>
        </w:rPr>
        <w:t xml:space="preserve">נתבעת טענה כי התביעה היא </w:t>
      </w:r>
      <w:r w:rsidRPr="002F65E9">
        <w:rPr>
          <w:rFonts w:ascii="FrankRuehl" w:hAnsi="FrankRuehl" w:cs="FrankRuehl"/>
          <w:sz w:val="28"/>
          <w:szCs w:val="28"/>
          <w:rtl/>
        </w:rPr>
        <w:t>חוליה נוספת במסכת התעללות של ה</w:t>
      </w:r>
      <w:r w:rsidR="006374C7" w:rsidRPr="002F65E9">
        <w:rPr>
          <w:rFonts w:ascii="FrankRuehl" w:hAnsi="FrankRuehl" w:cs="FrankRuehl"/>
          <w:sz w:val="28"/>
          <w:szCs w:val="28"/>
          <w:rtl/>
        </w:rPr>
        <w:t>תובע בנתבעת</w:t>
      </w:r>
      <w:r w:rsidRPr="002F65E9">
        <w:rPr>
          <w:rFonts w:ascii="FrankRuehl" w:hAnsi="FrankRuehl" w:cs="FrankRuehl"/>
          <w:sz w:val="28"/>
          <w:szCs w:val="28"/>
          <w:rtl/>
        </w:rPr>
        <w:t xml:space="preserve">, </w:t>
      </w:r>
      <w:r w:rsidR="006374C7" w:rsidRPr="002F65E9">
        <w:rPr>
          <w:rFonts w:ascii="FrankRuehl" w:hAnsi="FrankRuehl" w:cs="FrankRuehl"/>
          <w:sz w:val="28"/>
          <w:szCs w:val="28"/>
          <w:rtl/>
        </w:rPr>
        <w:t>בשל רצונו ל</w:t>
      </w:r>
      <w:r w:rsidRPr="002F65E9">
        <w:rPr>
          <w:rFonts w:ascii="FrankRuehl" w:hAnsi="FrankRuehl" w:cs="FrankRuehl"/>
          <w:sz w:val="28"/>
          <w:szCs w:val="28"/>
          <w:rtl/>
        </w:rPr>
        <w:t xml:space="preserve">הענישה </w:t>
      </w:r>
      <w:r w:rsidR="006374C7" w:rsidRPr="002F65E9">
        <w:rPr>
          <w:rFonts w:ascii="FrankRuehl" w:hAnsi="FrankRuehl" w:cs="FrankRuehl"/>
          <w:sz w:val="28"/>
          <w:szCs w:val="28"/>
          <w:rtl/>
        </w:rPr>
        <w:t xml:space="preserve">נוכח </w:t>
      </w:r>
      <w:r w:rsidRPr="002F65E9">
        <w:rPr>
          <w:rFonts w:ascii="FrankRuehl" w:hAnsi="FrankRuehl" w:cs="FrankRuehl"/>
          <w:sz w:val="28"/>
          <w:szCs w:val="28"/>
          <w:rtl/>
        </w:rPr>
        <w:t xml:space="preserve">רצונה להתגרש. נטען כי </w:t>
      </w:r>
      <w:r w:rsidR="00422776" w:rsidRPr="002F65E9">
        <w:rPr>
          <w:rFonts w:ascii="FrankRuehl" w:hAnsi="FrankRuehl" w:cs="FrankRuehl"/>
          <w:sz w:val="28"/>
          <w:szCs w:val="28"/>
          <w:rtl/>
        </w:rPr>
        <w:t>התובע מושתק ומנוע להגיש תביעתו שכן טענותיו הוכרע</w:t>
      </w:r>
      <w:r w:rsidR="009970C1" w:rsidRPr="002F65E9">
        <w:rPr>
          <w:rFonts w:ascii="FrankRuehl" w:hAnsi="FrankRuehl" w:cs="FrankRuehl"/>
          <w:sz w:val="28"/>
          <w:szCs w:val="28"/>
          <w:rtl/>
        </w:rPr>
        <w:t>ו</w:t>
      </w:r>
      <w:r w:rsidR="00422776" w:rsidRPr="002F65E9">
        <w:rPr>
          <w:rFonts w:ascii="FrankRuehl" w:hAnsi="FrankRuehl" w:cs="FrankRuehl"/>
          <w:sz w:val="28"/>
          <w:szCs w:val="28"/>
          <w:rtl/>
        </w:rPr>
        <w:t xml:space="preserve"> </w:t>
      </w:r>
      <w:r w:rsidRPr="002F65E9">
        <w:rPr>
          <w:rFonts w:ascii="FrankRuehl" w:hAnsi="FrankRuehl" w:cs="FrankRuehl"/>
          <w:sz w:val="28"/>
          <w:szCs w:val="28"/>
          <w:rtl/>
        </w:rPr>
        <w:t>בפסה"ד מיום 13</w:t>
      </w:r>
      <w:r w:rsidR="00D5218A">
        <w:rPr>
          <w:rFonts w:ascii="FrankRuehl" w:hAnsi="FrankRuehl" w:cs="FrankRuehl" w:hint="cs"/>
          <w:sz w:val="28"/>
          <w:szCs w:val="28"/>
          <w:rtl/>
        </w:rPr>
        <w:t>/</w:t>
      </w:r>
      <w:r w:rsidRPr="002F65E9">
        <w:rPr>
          <w:rFonts w:ascii="FrankRuehl" w:hAnsi="FrankRuehl" w:cs="FrankRuehl"/>
          <w:sz w:val="28"/>
          <w:szCs w:val="28"/>
          <w:rtl/>
        </w:rPr>
        <w:t>11</w:t>
      </w:r>
      <w:r w:rsidR="00D5218A">
        <w:rPr>
          <w:rFonts w:ascii="FrankRuehl" w:hAnsi="FrankRuehl" w:cs="FrankRuehl" w:hint="cs"/>
          <w:sz w:val="28"/>
          <w:szCs w:val="28"/>
          <w:rtl/>
        </w:rPr>
        <w:t>/</w:t>
      </w:r>
      <w:r w:rsidRPr="002F65E9">
        <w:rPr>
          <w:rFonts w:ascii="FrankRuehl" w:hAnsi="FrankRuehl" w:cs="FrankRuehl"/>
          <w:sz w:val="28"/>
          <w:szCs w:val="28"/>
          <w:rtl/>
        </w:rPr>
        <w:t xml:space="preserve">2022 </w:t>
      </w:r>
      <w:r w:rsidR="00422776" w:rsidRPr="002F65E9">
        <w:rPr>
          <w:rFonts w:ascii="FrankRuehl" w:hAnsi="FrankRuehl" w:cs="FrankRuehl"/>
          <w:sz w:val="28"/>
          <w:szCs w:val="28"/>
          <w:rtl/>
        </w:rPr>
        <w:t xml:space="preserve">שניתן </w:t>
      </w:r>
      <w:r w:rsidRPr="002F65E9">
        <w:rPr>
          <w:rFonts w:ascii="FrankRuehl" w:hAnsi="FrankRuehl" w:cs="FrankRuehl"/>
          <w:sz w:val="28"/>
          <w:szCs w:val="28"/>
          <w:rtl/>
        </w:rPr>
        <w:t>בהליכים תלה"מ 38169-10-19 (תביעת ה</w:t>
      </w:r>
      <w:r w:rsidR="006374C7" w:rsidRPr="002F65E9">
        <w:rPr>
          <w:rFonts w:ascii="FrankRuehl" w:hAnsi="FrankRuehl" w:cs="FrankRuehl"/>
          <w:sz w:val="28"/>
          <w:szCs w:val="28"/>
          <w:rtl/>
        </w:rPr>
        <w:t>תובע</w:t>
      </w:r>
      <w:r w:rsidRPr="002F65E9">
        <w:rPr>
          <w:rFonts w:ascii="FrankRuehl" w:hAnsi="FrankRuehl" w:cs="FrankRuehl"/>
          <w:sz w:val="28"/>
          <w:szCs w:val="28"/>
          <w:rtl/>
        </w:rPr>
        <w:t xml:space="preserve"> לפינוי) ותלה"מ 41667-09-20 (תביעת ה</w:t>
      </w:r>
      <w:r w:rsidR="006374C7" w:rsidRPr="002F65E9">
        <w:rPr>
          <w:rFonts w:ascii="FrankRuehl" w:hAnsi="FrankRuehl" w:cs="FrankRuehl"/>
          <w:sz w:val="28"/>
          <w:szCs w:val="28"/>
          <w:rtl/>
        </w:rPr>
        <w:t xml:space="preserve">נתבעת </w:t>
      </w:r>
      <w:r w:rsidRPr="002F65E9">
        <w:rPr>
          <w:rFonts w:ascii="FrankRuehl" w:hAnsi="FrankRuehl" w:cs="FrankRuehl"/>
          <w:sz w:val="28"/>
          <w:szCs w:val="28"/>
          <w:rtl/>
        </w:rPr>
        <w:t xml:space="preserve">לאיזון משאבים ולזכויות בדירה). </w:t>
      </w:r>
    </w:p>
    <w:p w:rsidR="00A46A1F" w:rsidRDefault="00A46A1F" w:rsidP="00A46A1F">
      <w:pPr>
        <w:pStyle w:val="af0"/>
        <w:spacing w:line="360" w:lineRule="auto"/>
        <w:ind w:left="360"/>
        <w:jc w:val="both"/>
        <w:rPr>
          <w:rFonts w:ascii="FrankRuehl" w:hAnsi="FrankRuehl" w:cs="FrankRuehl"/>
          <w:sz w:val="28"/>
          <w:szCs w:val="28"/>
          <w:rtl/>
        </w:rPr>
      </w:pPr>
    </w:p>
    <w:p w:rsidR="00E30A73" w:rsidRPr="002F65E9" w:rsidRDefault="00B0028F" w:rsidP="00A46A1F">
      <w:pPr>
        <w:pStyle w:val="af0"/>
        <w:spacing w:line="360" w:lineRule="auto"/>
        <w:ind w:left="360"/>
        <w:jc w:val="both"/>
        <w:rPr>
          <w:rFonts w:ascii="FrankRuehl" w:hAnsi="FrankRuehl" w:cs="FrankRuehl"/>
          <w:sz w:val="28"/>
          <w:szCs w:val="28"/>
        </w:rPr>
      </w:pPr>
      <w:r w:rsidRPr="002F65E9">
        <w:rPr>
          <w:rFonts w:ascii="FrankRuehl" w:hAnsi="FrankRuehl" w:cs="FrankRuehl"/>
          <w:sz w:val="28"/>
          <w:szCs w:val="28"/>
          <w:rtl/>
        </w:rPr>
        <w:t xml:space="preserve">נטען כי </w:t>
      </w:r>
      <w:r w:rsidR="006374C7" w:rsidRPr="002F65E9">
        <w:rPr>
          <w:rFonts w:ascii="FrankRuehl" w:hAnsi="FrankRuehl" w:cs="FrankRuehl"/>
          <w:sz w:val="28"/>
          <w:szCs w:val="28"/>
          <w:rtl/>
        </w:rPr>
        <w:t>טענות התובע בנ</w:t>
      </w:r>
      <w:r w:rsidR="00422776" w:rsidRPr="002F65E9">
        <w:rPr>
          <w:rFonts w:ascii="FrankRuehl" w:hAnsi="FrankRuehl" w:cs="FrankRuehl"/>
          <w:sz w:val="28"/>
          <w:szCs w:val="28"/>
          <w:rtl/>
        </w:rPr>
        <w:t>ו</w:t>
      </w:r>
      <w:r w:rsidR="006374C7" w:rsidRPr="002F65E9">
        <w:rPr>
          <w:rFonts w:ascii="FrankRuehl" w:hAnsi="FrankRuehl" w:cs="FrankRuehl"/>
          <w:sz w:val="28"/>
          <w:szCs w:val="28"/>
          <w:rtl/>
        </w:rPr>
        <w:t>גע ל</w:t>
      </w:r>
      <w:r w:rsidRPr="002F65E9">
        <w:rPr>
          <w:rFonts w:ascii="FrankRuehl" w:hAnsi="FrankRuehl" w:cs="FrankRuehl"/>
          <w:sz w:val="28"/>
          <w:szCs w:val="28"/>
          <w:rtl/>
        </w:rPr>
        <w:t xml:space="preserve">תשלומים עבור </w:t>
      </w:r>
      <w:r w:rsidR="006374C7" w:rsidRPr="002F65E9">
        <w:rPr>
          <w:rFonts w:ascii="FrankRuehl" w:hAnsi="FrankRuehl" w:cs="FrankRuehl"/>
          <w:sz w:val="28"/>
          <w:szCs w:val="28"/>
          <w:rtl/>
        </w:rPr>
        <w:t xml:space="preserve">ארנונה, </w:t>
      </w:r>
      <w:r w:rsidRPr="002F65E9">
        <w:rPr>
          <w:rFonts w:ascii="FrankRuehl" w:hAnsi="FrankRuehl" w:cs="FrankRuehl"/>
          <w:sz w:val="28"/>
          <w:szCs w:val="28"/>
          <w:rtl/>
        </w:rPr>
        <w:t xml:space="preserve">חשמל, </w:t>
      </w:r>
      <w:r w:rsidR="006374C7" w:rsidRPr="002F65E9">
        <w:rPr>
          <w:rFonts w:ascii="FrankRuehl" w:hAnsi="FrankRuehl" w:cs="FrankRuehl"/>
          <w:sz w:val="28"/>
          <w:szCs w:val="28"/>
          <w:rtl/>
        </w:rPr>
        <w:t>ו</w:t>
      </w:r>
      <w:r w:rsidRPr="002F65E9">
        <w:rPr>
          <w:rFonts w:ascii="FrankRuehl" w:hAnsi="FrankRuehl" w:cs="FrankRuehl"/>
          <w:sz w:val="28"/>
          <w:szCs w:val="28"/>
          <w:rtl/>
        </w:rPr>
        <w:t>מים</w:t>
      </w:r>
      <w:r w:rsidR="006374C7" w:rsidRPr="002F65E9">
        <w:rPr>
          <w:rFonts w:ascii="FrankRuehl" w:hAnsi="FrankRuehl" w:cs="FrankRuehl"/>
          <w:sz w:val="28"/>
          <w:szCs w:val="28"/>
          <w:rtl/>
        </w:rPr>
        <w:t xml:space="preserve"> הועלו על ידי הנתבע בהליך שם. הנתבעת הפנתה </w:t>
      </w:r>
      <w:r w:rsidRPr="002F65E9">
        <w:rPr>
          <w:rFonts w:ascii="FrankRuehl" w:hAnsi="FrankRuehl" w:cs="FrankRuehl"/>
          <w:sz w:val="28"/>
          <w:szCs w:val="28"/>
          <w:rtl/>
        </w:rPr>
        <w:t xml:space="preserve">לעמוד 3 סעיף 9 </w:t>
      </w:r>
      <w:r w:rsidR="006374C7" w:rsidRPr="002F65E9">
        <w:rPr>
          <w:rFonts w:ascii="FrankRuehl" w:hAnsi="FrankRuehl" w:cs="FrankRuehl"/>
          <w:sz w:val="28"/>
          <w:szCs w:val="28"/>
          <w:rtl/>
        </w:rPr>
        <w:t>ב</w:t>
      </w:r>
      <w:r w:rsidRPr="002F65E9">
        <w:rPr>
          <w:rFonts w:ascii="FrankRuehl" w:hAnsi="FrankRuehl" w:cs="FrankRuehl"/>
          <w:sz w:val="28"/>
          <w:szCs w:val="28"/>
          <w:rtl/>
        </w:rPr>
        <w:t>פסה"ד</w:t>
      </w:r>
      <w:r w:rsidR="006374C7" w:rsidRPr="002F65E9">
        <w:rPr>
          <w:rFonts w:ascii="FrankRuehl" w:hAnsi="FrankRuehl" w:cs="FrankRuehl"/>
          <w:sz w:val="28"/>
          <w:szCs w:val="28"/>
          <w:rtl/>
        </w:rPr>
        <w:t xml:space="preserve"> שניתן שם</w:t>
      </w:r>
      <w:r w:rsidR="00E30A73" w:rsidRPr="002F65E9">
        <w:rPr>
          <w:rFonts w:ascii="FrankRuehl" w:hAnsi="FrankRuehl" w:cs="FrankRuehl"/>
          <w:sz w:val="28"/>
          <w:szCs w:val="28"/>
          <w:rtl/>
        </w:rPr>
        <w:t xml:space="preserve"> וכי הנתבעת שילמה את התשלומים לאחר שהתובע העביר ברשות המקומית את החיובים על שמה</w:t>
      </w:r>
      <w:r w:rsidRPr="002F65E9">
        <w:rPr>
          <w:rFonts w:ascii="FrankRuehl" w:hAnsi="FrankRuehl" w:cs="FrankRuehl"/>
          <w:sz w:val="28"/>
          <w:szCs w:val="28"/>
          <w:rtl/>
        </w:rPr>
        <w:t xml:space="preserve">. </w:t>
      </w:r>
      <w:r w:rsidR="00E30A73" w:rsidRPr="002F65E9">
        <w:rPr>
          <w:rFonts w:ascii="FrankRuehl" w:hAnsi="FrankRuehl" w:cs="FrankRuehl"/>
          <w:sz w:val="28"/>
          <w:szCs w:val="28"/>
          <w:rtl/>
        </w:rPr>
        <w:t>עוד נטען כי התובע העביר את כל חיובי הארנונה על שם הנתבעת למרות שעשתה שימוש רק בקומה הראשונה.</w:t>
      </w:r>
    </w:p>
    <w:p w:rsidR="00E30A73" w:rsidRPr="002F65E9" w:rsidRDefault="00E30A73" w:rsidP="00E30A73">
      <w:pPr>
        <w:pStyle w:val="af0"/>
        <w:spacing w:line="360" w:lineRule="auto"/>
        <w:ind w:left="360"/>
        <w:jc w:val="both"/>
        <w:rPr>
          <w:rFonts w:ascii="FrankRuehl" w:hAnsi="FrankRuehl" w:cs="FrankRuehl"/>
          <w:sz w:val="28"/>
          <w:szCs w:val="28"/>
        </w:rPr>
      </w:pPr>
    </w:p>
    <w:p w:rsidR="006374C7" w:rsidRPr="002F65E9" w:rsidRDefault="006374C7" w:rsidP="00C9264C">
      <w:pPr>
        <w:pStyle w:val="af0"/>
        <w:spacing w:line="360" w:lineRule="auto"/>
        <w:ind w:left="360"/>
        <w:jc w:val="both"/>
        <w:rPr>
          <w:rFonts w:ascii="FrankRuehl" w:hAnsi="FrankRuehl" w:cs="FrankRuehl"/>
          <w:sz w:val="28"/>
          <w:szCs w:val="28"/>
        </w:rPr>
      </w:pPr>
      <w:r w:rsidRPr="002F65E9">
        <w:rPr>
          <w:rFonts w:ascii="FrankRuehl" w:hAnsi="FrankRuehl" w:cs="FrankRuehl"/>
          <w:sz w:val="28"/>
          <w:szCs w:val="28"/>
          <w:rtl/>
        </w:rPr>
        <w:t xml:space="preserve">בנוגע לטענות הנתבע אשר לשווי </w:t>
      </w:r>
      <w:r w:rsidR="00B0028F" w:rsidRPr="002F65E9">
        <w:rPr>
          <w:rFonts w:ascii="FrankRuehl" w:hAnsi="FrankRuehl" w:cs="FrankRuehl"/>
          <w:sz w:val="28"/>
          <w:szCs w:val="28"/>
          <w:rtl/>
        </w:rPr>
        <w:t>כלי הרכב ו</w:t>
      </w:r>
      <w:r w:rsidRPr="002F65E9">
        <w:rPr>
          <w:rFonts w:ascii="FrankRuehl" w:hAnsi="FrankRuehl" w:cs="FrankRuehl"/>
          <w:sz w:val="28"/>
          <w:szCs w:val="28"/>
          <w:rtl/>
        </w:rPr>
        <w:t xml:space="preserve">שווי </w:t>
      </w:r>
      <w:r w:rsidR="00B0028F" w:rsidRPr="002F65E9">
        <w:rPr>
          <w:rFonts w:ascii="FrankRuehl" w:hAnsi="FrankRuehl" w:cs="FrankRuehl"/>
          <w:sz w:val="28"/>
          <w:szCs w:val="28"/>
          <w:rtl/>
        </w:rPr>
        <w:t>התכשיטים, הפנתה המבקשת לסעיף 46 לפסה"ד</w:t>
      </w:r>
      <w:r w:rsidR="00C9264C" w:rsidRPr="002F65E9">
        <w:rPr>
          <w:rFonts w:ascii="FrankRuehl" w:hAnsi="FrankRuehl" w:cs="FrankRuehl"/>
          <w:sz w:val="28"/>
          <w:szCs w:val="28"/>
          <w:rtl/>
        </w:rPr>
        <w:t xml:space="preserve"> הנ"ל </w:t>
      </w:r>
      <w:r w:rsidR="00B0028F" w:rsidRPr="002F65E9">
        <w:rPr>
          <w:rFonts w:ascii="FrankRuehl" w:hAnsi="FrankRuehl" w:cs="FrankRuehl"/>
          <w:sz w:val="28"/>
          <w:szCs w:val="28"/>
          <w:rtl/>
        </w:rPr>
        <w:t xml:space="preserve"> </w:t>
      </w:r>
      <w:r w:rsidRPr="002F65E9">
        <w:rPr>
          <w:rFonts w:ascii="FrankRuehl" w:hAnsi="FrankRuehl" w:cs="FrankRuehl"/>
          <w:sz w:val="28"/>
          <w:szCs w:val="28"/>
          <w:rtl/>
        </w:rPr>
        <w:t xml:space="preserve">שניתן שם </w:t>
      </w:r>
      <w:r w:rsidR="00DD4F54" w:rsidRPr="002F65E9">
        <w:rPr>
          <w:rFonts w:ascii="FrankRuehl" w:hAnsi="FrankRuehl" w:cs="FrankRuehl"/>
          <w:sz w:val="28"/>
          <w:szCs w:val="28"/>
          <w:rtl/>
        </w:rPr>
        <w:t>וכך גם לעניין דמי שימוש ראויים ש</w:t>
      </w:r>
      <w:r w:rsidR="00B0028F" w:rsidRPr="002F65E9">
        <w:rPr>
          <w:rFonts w:ascii="FrankRuehl" w:hAnsi="FrankRuehl" w:cs="FrankRuehl"/>
          <w:sz w:val="28"/>
          <w:szCs w:val="28"/>
          <w:rtl/>
        </w:rPr>
        <w:t xml:space="preserve">לאחר </w:t>
      </w:r>
      <w:r w:rsidRPr="002F65E9">
        <w:rPr>
          <w:rFonts w:ascii="FrankRuehl" w:hAnsi="FrankRuehl" w:cs="FrankRuehl"/>
          <w:sz w:val="28"/>
          <w:szCs w:val="28"/>
          <w:rtl/>
        </w:rPr>
        <w:t xml:space="preserve">מועד </w:t>
      </w:r>
      <w:r w:rsidR="00D5218A">
        <w:rPr>
          <w:rFonts w:ascii="FrankRuehl" w:hAnsi="FrankRuehl" w:cs="FrankRuehl"/>
          <w:sz w:val="28"/>
          <w:szCs w:val="28"/>
          <w:rtl/>
        </w:rPr>
        <w:t>הקרע.</w:t>
      </w:r>
    </w:p>
    <w:p w:rsidR="006374C7" w:rsidRPr="002F65E9" w:rsidRDefault="006374C7" w:rsidP="006374C7">
      <w:pPr>
        <w:pStyle w:val="af0"/>
        <w:spacing w:line="360" w:lineRule="auto"/>
        <w:ind w:left="360"/>
        <w:jc w:val="both"/>
        <w:rPr>
          <w:rFonts w:ascii="FrankRuehl" w:hAnsi="FrankRuehl" w:cs="FrankRuehl"/>
          <w:sz w:val="28"/>
          <w:szCs w:val="28"/>
          <w:rtl/>
        </w:rPr>
      </w:pPr>
    </w:p>
    <w:p w:rsidR="00422776" w:rsidRPr="002F65E9" w:rsidRDefault="00422776" w:rsidP="006374C7">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עוד נטען כי הנתבעת פינתה את הדירה ביום 07/2022 וכי התובע לא סיפק מדור חילופי לנתבעת או לילדיהם ועל כן נותרה להתגורר בדירה עם ילדי הצדדים.</w:t>
      </w:r>
      <w:r w:rsidR="007F4A70" w:rsidRPr="002F65E9">
        <w:rPr>
          <w:rFonts w:ascii="FrankRuehl" w:hAnsi="FrankRuehl" w:cs="FrankRuehl"/>
          <w:sz w:val="28"/>
          <w:szCs w:val="28"/>
          <w:rtl/>
        </w:rPr>
        <w:t xml:space="preserve"> נטען כי בהליך בבית הדין השרעי נפסק כי </w:t>
      </w:r>
      <w:r w:rsidR="00E30A73" w:rsidRPr="002F65E9">
        <w:rPr>
          <w:rFonts w:ascii="FrankRuehl" w:hAnsi="FrankRuehl" w:cs="FrankRuehl"/>
          <w:sz w:val="28"/>
          <w:szCs w:val="28"/>
          <w:rtl/>
        </w:rPr>
        <w:t>התובע חב במדור ספציפי – הי</w:t>
      </w:r>
      <w:r w:rsidR="00D5218A">
        <w:rPr>
          <w:rFonts w:ascii="FrankRuehl" w:hAnsi="FrankRuehl" w:cs="FrankRuehl" w:hint="cs"/>
          <w:sz w:val="28"/>
          <w:szCs w:val="28"/>
          <w:rtl/>
        </w:rPr>
        <w:t>ְ</w:t>
      </w:r>
      <w:r w:rsidR="00E30A73" w:rsidRPr="002F65E9">
        <w:rPr>
          <w:rFonts w:ascii="FrankRuehl" w:hAnsi="FrankRuehl" w:cs="FrankRuehl"/>
          <w:sz w:val="28"/>
          <w:szCs w:val="28"/>
          <w:rtl/>
        </w:rPr>
        <w:t>ינו המגורים בדירה, עבור הנתבעת וילדיה ועל כן אין לחייבה בדמי שימוש. עוד נטען כי התובע בחר מיוזמתו לעבור להתגורר בשכירות חרף כי היה יכול המשיך להתגורר בקומה השנייה שבה מטבחון. נטען כי למעשה מדובר בבניין המונה 3 קומות ו-3 דירות נפרדות.</w:t>
      </w:r>
    </w:p>
    <w:p w:rsidR="00E30A73" w:rsidRPr="002F65E9" w:rsidRDefault="00E30A73" w:rsidP="006374C7">
      <w:pPr>
        <w:pStyle w:val="af0"/>
        <w:spacing w:line="360" w:lineRule="auto"/>
        <w:ind w:left="360"/>
        <w:jc w:val="both"/>
        <w:rPr>
          <w:rFonts w:ascii="FrankRuehl" w:hAnsi="FrankRuehl" w:cs="FrankRuehl"/>
          <w:sz w:val="28"/>
          <w:szCs w:val="28"/>
          <w:rtl/>
        </w:rPr>
      </w:pPr>
    </w:p>
    <w:p w:rsidR="00B0028F" w:rsidRPr="002F65E9" w:rsidRDefault="00E30A73" w:rsidP="00E30A73">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אשר לתשלום מאחי הנתבעת, נטען כי התובע ידע על התשלום והתשלום שימש את הצדדים בעת החיים המשותפים. לראיה הפנתה הנתבעת להסכם שכירות עליו חתום התובע וטענה גם כי התביעה ברכיב זה התי</w:t>
      </w:r>
      <w:r w:rsidR="00383298" w:rsidRPr="002F65E9">
        <w:rPr>
          <w:rFonts w:ascii="FrankRuehl" w:hAnsi="FrankRuehl" w:cs="FrankRuehl"/>
          <w:sz w:val="28"/>
          <w:szCs w:val="28"/>
          <w:rtl/>
        </w:rPr>
        <w:t>י</w:t>
      </w:r>
      <w:r w:rsidRPr="002F65E9">
        <w:rPr>
          <w:rFonts w:ascii="FrankRuehl" w:hAnsi="FrankRuehl" w:cs="FrankRuehl"/>
          <w:sz w:val="28"/>
          <w:szCs w:val="28"/>
          <w:rtl/>
        </w:rPr>
        <w:t>שנה.</w:t>
      </w:r>
    </w:p>
    <w:p w:rsidR="00B0028F" w:rsidRDefault="00B0028F" w:rsidP="00B0028F">
      <w:pPr>
        <w:pStyle w:val="af0"/>
        <w:rPr>
          <w:rFonts w:ascii="FrankRuehl" w:hAnsi="FrankRuehl" w:cs="FrankRuehl"/>
          <w:sz w:val="28"/>
          <w:szCs w:val="28"/>
          <w:rtl/>
        </w:rPr>
      </w:pPr>
    </w:p>
    <w:p w:rsidR="00797884" w:rsidRPr="002F65E9" w:rsidRDefault="00797884" w:rsidP="00B0028F">
      <w:pPr>
        <w:pStyle w:val="af0"/>
        <w:rPr>
          <w:rFonts w:ascii="FrankRuehl" w:hAnsi="FrankRuehl" w:cs="FrankRuehl"/>
          <w:sz w:val="28"/>
          <w:szCs w:val="28"/>
        </w:rPr>
      </w:pPr>
    </w:p>
    <w:p w:rsidR="00A46A1F" w:rsidRDefault="006374C7" w:rsidP="00383298">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התובע טען כי הסכומים הנתבעים</w:t>
      </w:r>
      <w:r w:rsidR="0098654E" w:rsidRPr="002F65E9">
        <w:rPr>
          <w:rFonts w:ascii="FrankRuehl" w:hAnsi="FrankRuehl" w:cs="FrankRuehl"/>
          <w:sz w:val="28"/>
          <w:szCs w:val="28"/>
          <w:rtl/>
        </w:rPr>
        <w:t xml:space="preserve"> נטענו על דרך קיזוז ו</w:t>
      </w:r>
      <w:r w:rsidR="00B0028F" w:rsidRPr="002F65E9">
        <w:rPr>
          <w:rFonts w:ascii="FrankRuehl" w:hAnsi="FrankRuehl" w:cs="FrankRuehl"/>
          <w:sz w:val="28"/>
          <w:szCs w:val="28"/>
          <w:rtl/>
        </w:rPr>
        <w:t>לא נכללו בחוות דעת המומחה החשבונאי ועל כן לא נכללו באיזון המשאבים</w:t>
      </w:r>
      <w:r w:rsidR="0098654E" w:rsidRPr="002F65E9">
        <w:rPr>
          <w:rFonts w:ascii="FrankRuehl" w:hAnsi="FrankRuehl" w:cs="FrankRuehl"/>
          <w:sz w:val="28"/>
          <w:szCs w:val="28"/>
          <w:rtl/>
        </w:rPr>
        <w:t xml:space="preserve">. התובע הדגיש כי תביעתו הייתה תביעת פינוי </w:t>
      </w:r>
      <w:r w:rsidR="00B0028F" w:rsidRPr="002F65E9">
        <w:rPr>
          <w:rFonts w:ascii="FrankRuehl" w:hAnsi="FrankRuehl" w:cs="FrankRuehl"/>
          <w:sz w:val="28"/>
          <w:szCs w:val="28"/>
          <w:rtl/>
        </w:rPr>
        <w:t xml:space="preserve">בעוד כאן מבוקש סעד כספי. עוד נטען כי רק במהלך החקירה הנגדית </w:t>
      </w:r>
      <w:r w:rsidR="0098654E" w:rsidRPr="002F65E9">
        <w:rPr>
          <w:rFonts w:ascii="FrankRuehl" w:hAnsi="FrankRuehl" w:cs="FrankRuehl"/>
          <w:sz w:val="28"/>
          <w:szCs w:val="28"/>
          <w:rtl/>
        </w:rPr>
        <w:t xml:space="preserve">בהליך עובר לפסה"ד שם, </w:t>
      </w:r>
      <w:r w:rsidR="00B0028F" w:rsidRPr="002F65E9">
        <w:rPr>
          <w:rFonts w:ascii="FrankRuehl" w:hAnsi="FrankRuehl" w:cs="FrankRuehl"/>
          <w:sz w:val="28"/>
          <w:szCs w:val="28"/>
          <w:rtl/>
        </w:rPr>
        <w:t>הודתה ה</w:t>
      </w:r>
      <w:r w:rsidR="0098654E" w:rsidRPr="002F65E9">
        <w:rPr>
          <w:rFonts w:ascii="FrankRuehl" w:hAnsi="FrankRuehl" w:cs="FrankRuehl"/>
          <w:sz w:val="28"/>
          <w:szCs w:val="28"/>
          <w:rtl/>
        </w:rPr>
        <w:t xml:space="preserve">נתבעת </w:t>
      </w:r>
      <w:r w:rsidR="00B0028F" w:rsidRPr="002F65E9">
        <w:rPr>
          <w:rFonts w:ascii="FrankRuehl" w:hAnsi="FrankRuehl" w:cs="FrankRuehl"/>
          <w:sz w:val="28"/>
          <w:szCs w:val="28"/>
          <w:rtl/>
        </w:rPr>
        <w:t xml:space="preserve">כי מכרה את כלי הרכב ונטלה תמורתו, בניגוד להחלטת בית הדין השרעי. </w:t>
      </w:r>
    </w:p>
    <w:p w:rsidR="00A46A1F" w:rsidRDefault="00A46A1F" w:rsidP="00A46A1F">
      <w:pPr>
        <w:pStyle w:val="af0"/>
        <w:spacing w:line="360" w:lineRule="auto"/>
        <w:ind w:left="360"/>
        <w:jc w:val="both"/>
        <w:rPr>
          <w:rFonts w:ascii="FrankRuehl" w:hAnsi="FrankRuehl" w:cs="FrankRuehl"/>
          <w:sz w:val="28"/>
          <w:szCs w:val="28"/>
          <w:rtl/>
        </w:rPr>
      </w:pPr>
    </w:p>
    <w:p w:rsidR="00383298" w:rsidRPr="002F65E9" w:rsidRDefault="00383298" w:rsidP="00A46A1F">
      <w:pPr>
        <w:pStyle w:val="af0"/>
        <w:spacing w:line="360" w:lineRule="auto"/>
        <w:ind w:left="360"/>
        <w:jc w:val="both"/>
        <w:rPr>
          <w:rFonts w:ascii="FrankRuehl" w:hAnsi="FrankRuehl" w:cs="FrankRuehl"/>
          <w:sz w:val="28"/>
          <w:szCs w:val="28"/>
        </w:rPr>
      </w:pPr>
      <w:r w:rsidRPr="002F65E9">
        <w:rPr>
          <w:rFonts w:ascii="FrankRuehl" w:hAnsi="FrankRuehl" w:cs="FrankRuehl"/>
          <w:sz w:val="28"/>
          <w:szCs w:val="28"/>
          <w:rtl/>
        </w:rPr>
        <w:t>נטען כי התובע לא יכול היה להמשיך להתגורר בקומה השנייה מאחר והנתבעת מיררה את חייו והוא נאלץ לפנות למשטרת ישראל לעזרה, נטען כי הנתבעת הפרה צווי הרחקה שניתנו</w:t>
      </w:r>
      <w:r w:rsidR="00C9264C" w:rsidRPr="002F65E9">
        <w:rPr>
          <w:rFonts w:ascii="FrankRuehl" w:hAnsi="FrankRuehl" w:cs="FrankRuehl"/>
          <w:sz w:val="28"/>
          <w:szCs w:val="28"/>
          <w:rtl/>
        </w:rPr>
        <w:t>,</w:t>
      </w:r>
      <w:r w:rsidRPr="002F65E9">
        <w:rPr>
          <w:rFonts w:ascii="FrankRuehl" w:hAnsi="FrankRuehl" w:cs="FrankRuehl"/>
          <w:sz w:val="28"/>
          <w:szCs w:val="28"/>
          <w:rtl/>
        </w:rPr>
        <w:t xml:space="preserve"> תקפה את התובע מילולית, השחיתה רכושו, הגישה כנגדו תובענות לצו הגנה ושידלה </w:t>
      </w:r>
      <w:r w:rsidR="00D5218A">
        <w:rPr>
          <w:rFonts w:ascii="FrankRuehl" w:hAnsi="FrankRuehl" w:cs="FrankRuehl"/>
          <w:sz w:val="28"/>
          <w:szCs w:val="28"/>
          <w:rtl/>
        </w:rPr>
        <w:t>את הבת להגיש כנגדו תביעות שווא.</w:t>
      </w:r>
    </w:p>
    <w:p w:rsidR="00383298" w:rsidRPr="002F65E9" w:rsidRDefault="00383298" w:rsidP="00D209DC">
      <w:pPr>
        <w:pStyle w:val="af0"/>
        <w:spacing w:line="360" w:lineRule="auto"/>
        <w:ind w:left="360"/>
        <w:jc w:val="both"/>
        <w:rPr>
          <w:rFonts w:ascii="FrankRuehl" w:hAnsi="FrankRuehl" w:cs="FrankRuehl"/>
          <w:sz w:val="28"/>
          <w:szCs w:val="28"/>
        </w:rPr>
      </w:pPr>
    </w:p>
    <w:p w:rsidR="002147D1" w:rsidRPr="002F65E9" w:rsidRDefault="002147D1" w:rsidP="002147D1">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הצדדים הודיעו כי הם מוותרים על חקירות ומבקשים כי פסה"ד יינתן על סמך המסמכים שבתיק, כתבי טענות, תיקי מוצגים וסיכומים.</w:t>
      </w:r>
    </w:p>
    <w:p w:rsidR="00D23E97" w:rsidRPr="002F65E9" w:rsidRDefault="00D23E97" w:rsidP="002147D1">
      <w:pPr>
        <w:spacing w:line="360" w:lineRule="auto"/>
        <w:jc w:val="both"/>
        <w:rPr>
          <w:rFonts w:ascii="FrankRuehl" w:hAnsi="FrankRuehl" w:cs="FrankRuehl"/>
          <w:sz w:val="28"/>
          <w:szCs w:val="28"/>
          <w:rtl/>
        </w:rPr>
      </w:pPr>
    </w:p>
    <w:p w:rsidR="002147D1" w:rsidRPr="002F65E9" w:rsidRDefault="002147D1" w:rsidP="002147D1">
      <w:pPr>
        <w:spacing w:line="360" w:lineRule="auto"/>
        <w:jc w:val="both"/>
        <w:rPr>
          <w:rFonts w:ascii="FrankRuehl" w:hAnsi="FrankRuehl" w:cs="FrankRuehl"/>
          <w:b/>
          <w:bCs/>
          <w:sz w:val="28"/>
          <w:szCs w:val="28"/>
          <w:u w:val="single"/>
        </w:rPr>
      </w:pPr>
      <w:r w:rsidRPr="002F65E9">
        <w:rPr>
          <w:rFonts w:ascii="FrankRuehl" w:hAnsi="FrankRuehl" w:cs="FrankRuehl"/>
          <w:b/>
          <w:bCs/>
          <w:sz w:val="28"/>
          <w:szCs w:val="28"/>
          <w:u w:val="single"/>
          <w:rtl/>
        </w:rPr>
        <w:t>דיון והכרעה</w:t>
      </w:r>
      <w:r w:rsidRPr="00D5218A">
        <w:rPr>
          <w:rFonts w:ascii="FrankRuehl" w:hAnsi="FrankRuehl" w:cs="FrankRuehl"/>
          <w:b/>
          <w:bCs/>
          <w:sz w:val="28"/>
          <w:szCs w:val="28"/>
          <w:rtl/>
        </w:rPr>
        <w:t>:</w:t>
      </w:r>
    </w:p>
    <w:p w:rsidR="00B0028F" w:rsidRPr="002F65E9" w:rsidRDefault="00B0028F" w:rsidP="00D209DC">
      <w:pPr>
        <w:pStyle w:val="af0"/>
        <w:spacing w:line="360" w:lineRule="auto"/>
        <w:ind w:left="360"/>
        <w:jc w:val="both"/>
        <w:rPr>
          <w:rFonts w:ascii="FrankRuehl" w:hAnsi="FrankRuehl" w:cs="FrankRuehl"/>
          <w:sz w:val="28"/>
          <w:szCs w:val="28"/>
          <w:rtl/>
        </w:rPr>
      </w:pPr>
    </w:p>
    <w:p w:rsidR="00D209DC" w:rsidRDefault="00D209DC" w:rsidP="00BA5CA6">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b/>
          <w:bCs/>
          <w:sz w:val="28"/>
          <w:szCs w:val="28"/>
          <w:rtl/>
        </w:rPr>
        <w:t>אשר לרכיב בת</w:t>
      </w:r>
      <w:r w:rsidR="007F728E" w:rsidRPr="002F65E9">
        <w:rPr>
          <w:rFonts w:ascii="FrankRuehl" w:hAnsi="FrankRuehl" w:cs="FrankRuehl"/>
          <w:b/>
          <w:bCs/>
          <w:sz w:val="28"/>
          <w:szCs w:val="28"/>
          <w:rtl/>
        </w:rPr>
        <w:t>ב</w:t>
      </w:r>
      <w:r w:rsidRPr="002F65E9">
        <w:rPr>
          <w:rFonts w:ascii="FrankRuehl" w:hAnsi="FrankRuehl" w:cs="FrankRuehl"/>
          <w:b/>
          <w:bCs/>
          <w:sz w:val="28"/>
          <w:szCs w:val="28"/>
          <w:rtl/>
        </w:rPr>
        <w:t>יעה שעניינו דמי שימוש, אני דוחה את הטענה</w:t>
      </w:r>
      <w:r w:rsidRPr="002F65E9">
        <w:rPr>
          <w:rFonts w:ascii="FrankRuehl" w:hAnsi="FrankRuehl" w:cs="FrankRuehl"/>
          <w:sz w:val="28"/>
          <w:szCs w:val="28"/>
          <w:rtl/>
        </w:rPr>
        <w:t>.</w:t>
      </w:r>
    </w:p>
    <w:p w:rsidR="00797884" w:rsidRPr="002F65E9" w:rsidRDefault="00797884" w:rsidP="00797884">
      <w:pPr>
        <w:pStyle w:val="af0"/>
        <w:spacing w:line="360" w:lineRule="auto"/>
        <w:ind w:left="360"/>
        <w:jc w:val="both"/>
        <w:rPr>
          <w:rFonts w:ascii="FrankRuehl" w:hAnsi="FrankRuehl" w:cs="FrankRuehl"/>
          <w:sz w:val="28"/>
          <w:szCs w:val="28"/>
        </w:rPr>
      </w:pPr>
    </w:p>
    <w:p w:rsidR="00B0028F" w:rsidRPr="002F65E9" w:rsidRDefault="00BA5CA6" w:rsidP="00D5218A">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מעיון בפרוטוקול הדיון בבית הדין השרעי מיום 08/01/2019 עולה כי בית הדין השרעי ח</w:t>
      </w:r>
      <w:r w:rsidR="00D5218A">
        <w:rPr>
          <w:rFonts w:ascii="FrankRuehl" w:hAnsi="FrankRuehl" w:cs="FrankRuehl"/>
          <w:sz w:val="28"/>
          <w:szCs w:val="28"/>
          <w:rtl/>
        </w:rPr>
        <w:t>ייב את התובע בתשלום מדור ספציפי</w:t>
      </w:r>
      <w:r w:rsidRPr="002F65E9">
        <w:rPr>
          <w:rFonts w:ascii="FrankRuehl" w:hAnsi="FrankRuehl" w:cs="FrankRuehl"/>
          <w:sz w:val="28"/>
          <w:szCs w:val="28"/>
          <w:rtl/>
        </w:rPr>
        <w:t xml:space="preserve"> מיום 05/09/2018 ועד לתום תקופת </w:t>
      </w:r>
      <w:r w:rsidR="00CA172E" w:rsidRPr="002F65E9">
        <w:rPr>
          <w:rFonts w:ascii="FrankRuehl" w:hAnsi="FrankRuehl" w:cs="FrankRuehl"/>
          <w:sz w:val="28"/>
          <w:szCs w:val="28"/>
          <w:rtl/>
        </w:rPr>
        <w:t xml:space="preserve">ההמתנה, </w:t>
      </w:r>
      <w:r w:rsidRPr="002F65E9">
        <w:rPr>
          <w:rFonts w:ascii="FrankRuehl" w:hAnsi="FrankRuehl" w:cs="FrankRuehl"/>
          <w:sz w:val="28"/>
          <w:szCs w:val="28"/>
          <w:rtl/>
        </w:rPr>
        <w:t>וממועד זה סך 1,300 ₪ (כפוף לפרידת הצדדים), אם תעזוב הנתבעת את הדירה.</w:t>
      </w:r>
    </w:p>
    <w:p w:rsidR="00D65FD4" w:rsidRPr="002F65E9" w:rsidRDefault="00D65FD4" w:rsidP="00D209DC">
      <w:pPr>
        <w:pStyle w:val="af0"/>
        <w:spacing w:line="360" w:lineRule="auto"/>
        <w:ind w:left="360"/>
        <w:jc w:val="both"/>
        <w:rPr>
          <w:rFonts w:ascii="FrankRuehl" w:hAnsi="FrankRuehl" w:cs="FrankRuehl"/>
          <w:sz w:val="28"/>
          <w:szCs w:val="28"/>
          <w:rtl/>
        </w:rPr>
      </w:pPr>
    </w:p>
    <w:p w:rsidR="00C678DD" w:rsidRPr="002F65E9" w:rsidRDefault="00002510" w:rsidP="00D209DC">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זאת ועוד, על פי חוות דעת השמאי אטקין שצירף התובע לתיק מוצגיו (מוצג 13) ושהוגשה בהליכים הקשורים,  הרי שאכן יש ממש בטענת הנתבעת כי</w:t>
      </w:r>
      <w:r w:rsidR="00D209DC" w:rsidRPr="002F65E9">
        <w:rPr>
          <w:rFonts w:ascii="FrankRuehl" w:hAnsi="FrankRuehl" w:cs="FrankRuehl"/>
          <w:sz w:val="28"/>
          <w:szCs w:val="28"/>
          <w:rtl/>
        </w:rPr>
        <w:t xml:space="preserve"> בדירה בקומה השנייה היה מטבחון.</w:t>
      </w:r>
      <w:r w:rsidR="002D3675" w:rsidRPr="002F65E9">
        <w:rPr>
          <w:rFonts w:ascii="FrankRuehl" w:hAnsi="FrankRuehl" w:cs="FrankRuehl"/>
          <w:sz w:val="28"/>
          <w:szCs w:val="28"/>
          <w:rtl/>
        </w:rPr>
        <w:t xml:space="preserve"> האמור סותר את טענת התובע כי נאלץ לעזוב את הדירה. </w:t>
      </w:r>
    </w:p>
    <w:p w:rsidR="002D3675" w:rsidRPr="002F65E9" w:rsidRDefault="002D3675" w:rsidP="00D209DC">
      <w:pPr>
        <w:pStyle w:val="af0"/>
        <w:spacing w:line="360" w:lineRule="auto"/>
        <w:ind w:left="360"/>
        <w:jc w:val="both"/>
        <w:rPr>
          <w:rFonts w:ascii="FrankRuehl" w:hAnsi="FrankRuehl" w:cs="FrankRuehl"/>
          <w:sz w:val="28"/>
          <w:szCs w:val="28"/>
          <w:rtl/>
        </w:rPr>
      </w:pPr>
    </w:p>
    <w:p w:rsidR="00A46A1F" w:rsidRDefault="002D3675" w:rsidP="00A46A1F">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יתר על כן, על פי חוות דעת השמאי הנ"ל, אכן כטענת הנתבעת מדובר בבניין בין 3 קומות</w:t>
      </w:r>
      <w:r w:rsidR="00D5218A">
        <w:rPr>
          <w:rFonts w:ascii="FrankRuehl" w:hAnsi="FrankRuehl" w:cs="FrankRuehl" w:hint="cs"/>
          <w:sz w:val="28"/>
          <w:szCs w:val="28"/>
          <w:rtl/>
        </w:rPr>
        <w:t xml:space="preserve"> אשר </w:t>
      </w:r>
      <w:r w:rsidR="00D5218A">
        <w:rPr>
          <w:rFonts w:ascii="FrankRuehl" w:hAnsi="FrankRuehl" w:cs="FrankRuehl"/>
          <w:sz w:val="28"/>
          <w:szCs w:val="28"/>
          <w:rtl/>
        </w:rPr>
        <w:t>מונה 3 יחידות דיור נפרדות</w:t>
      </w:r>
      <w:r w:rsidR="00D5218A">
        <w:rPr>
          <w:rFonts w:ascii="FrankRuehl" w:hAnsi="FrankRuehl" w:cs="FrankRuehl" w:hint="cs"/>
          <w:sz w:val="28"/>
          <w:szCs w:val="28"/>
          <w:rtl/>
        </w:rPr>
        <w:t>;</w:t>
      </w:r>
      <w:r w:rsidRPr="002F65E9">
        <w:rPr>
          <w:rFonts w:ascii="FrankRuehl" w:hAnsi="FrankRuehl" w:cs="FrankRuehl"/>
          <w:sz w:val="28"/>
          <w:szCs w:val="28"/>
          <w:rtl/>
        </w:rPr>
        <w:t xml:space="preserve"> </w:t>
      </w:r>
      <w:r w:rsidR="00D5218A">
        <w:rPr>
          <w:rFonts w:ascii="FrankRuehl" w:hAnsi="FrankRuehl" w:cs="FrankRuehl" w:hint="cs"/>
          <w:sz w:val="28"/>
          <w:szCs w:val="28"/>
          <w:rtl/>
        </w:rPr>
        <w:t xml:space="preserve">זאת ועוד, </w:t>
      </w:r>
      <w:r w:rsidR="00D82491" w:rsidRPr="002F65E9">
        <w:rPr>
          <w:rFonts w:ascii="FrankRuehl" w:hAnsi="FrankRuehl" w:cs="FrankRuehl"/>
          <w:sz w:val="28"/>
          <w:szCs w:val="28"/>
          <w:rtl/>
        </w:rPr>
        <w:t xml:space="preserve">על פי הכתוב בחוות הדעת, במועד הביקור של השמאי ביום 21/10/2021 התגורר </w:t>
      </w:r>
      <w:r w:rsidR="00D5218A">
        <w:rPr>
          <w:rFonts w:ascii="FrankRuehl" w:hAnsi="FrankRuehl" w:cs="FrankRuehl" w:hint="cs"/>
          <w:sz w:val="28"/>
          <w:szCs w:val="28"/>
          <w:rtl/>
        </w:rPr>
        <w:t xml:space="preserve">התובע </w:t>
      </w:r>
      <w:r w:rsidR="00C9264C" w:rsidRPr="002F65E9">
        <w:rPr>
          <w:rFonts w:ascii="FrankRuehl" w:hAnsi="FrankRuehl" w:cs="FrankRuehl"/>
          <w:sz w:val="28"/>
          <w:szCs w:val="28"/>
          <w:rtl/>
        </w:rPr>
        <w:t>ב</w:t>
      </w:r>
      <w:r w:rsidR="00D5218A">
        <w:rPr>
          <w:rFonts w:ascii="FrankRuehl" w:hAnsi="FrankRuehl" w:cs="FrankRuehl"/>
          <w:sz w:val="28"/>
          <w:szCs w:val="28"/>
          <w:rtl/>
        </w:rPr>
        <w:t>קומה השנייה</w:t>
      </w:r>
      <w:r w:rsidR="00D5218A">
        <w:rPr>
          <w:rFonts w:ascii="FrankRuehl" w:hAnsi="FrankRuehl" w:cs="FrankRuehl" w:hint="cs"/>
          <w:sz w:val="28"/>
          <w:szCs w:val="28"/>
          <w:rtl/>
        </w:rPr>
        <w:t xml:space="preserve"> -</w:t>
      </w:r>
      <w:r w:rsidR="00D82491" w:rsidRPr="002F65E9">
        <w:rPr>
          <w:rFonts w:ascii="FrankRuehl" w:hAnsi="FrankRuehl" w:cs="FrankRuehl"/>
          <w:sz w:val="28"/>
          <w:szCs w:val="28"/>
          <w:rtl/>
        </w:rPr>
        <w:t xml:space="preserve"> מה שמעיד כי </w:t>
      </w:r>
      <w:r w:rsidRPr="002F65E9">
        <w:rPr>
          <w:rFonts w:ascii="FrankRuehl" w:hAnsi="FrankRuehl" w:cs="FrankRuehl"/>
          <w:sz w:val="28"/>
          <w:szCs w:val="28"/>
          <w:rtl/>
        </w:rPr>
        <w:t>באפשרות התובע היה להשכיר 2 מתוך 3 היחידות ולגבות עבורן שכר דירה</w:t>
      </w:r>
      <w:r w:rsidR="00D82491" w:rsidRPr="002F65E9">
        <w:rPr>
          <w:rFonts w:ascii="FrankRuehl" w:hAnsi="FrankRuehl" w:cs="FrankRuehl"/>
          <w:sz w:val="28"/>
          <w:szCs w:val="28"/>
          <w:rtl/>
        </w:rPr>
        <w:t xml:space="preserve"> ובכ</w:t>
      </w:r>
      <w:r w:rsidR="00C9264C" w:rsidRPr="002F65E9">
        <w:rPr>
          <w:rFonts w:ascii="FrankRuehl" w:hAnsi="FrankRuehl" w:cs="FrankRuehl"/>
          <w:sz w:val="28"/>
          <w:szCs w:val="28"/>
          <w:rtl/>
        </w:rPr>
        <w:t>ך</w:t>
      </w:r>
      <w:r w:rsidR="00D82491" w:rsidRPr="002F65E9">
        <w:rPr>
          <w:rFonts w:ascii="FrankRuehl" w:hAnsi="FrankRuehl" w:cs="FrankRuehl"/>
          <w:sz w:val="28"/>
          <w:szCs w:val="28"/>
          <w:rtl/>
        </w:rPr>
        <w:t xml:space="preserve"> "להקטין את נזקו"</w:t>
      </w:r>
      <w:r w:rsidRPr="002F65E9">
        <w:rPr>
          <w:rFonts w:ascii="FrankRuehl" w:hAnsi="FrankRuehl" w:cs="FrankRuehl"/>
          <w:sz w:val="28"/>
          <w:szCs w:val="28"/>
          <w:rtl/>
        </w:rPr>
        <w:t>. התובע בחר שלא לעשות כן ועל כן אין לו אלא להלין על עצמו.</w:t>
      </w:r>
      <w:r w:rsidR="008A25D7" w:rsidRPr="002F65E9">
        <w:rPr>
          <w:rFonts w:ascii="FrankRuehl" w:hAnsi="FrankRuehl" w:cs="FrankRuehl"/>
          <w:sz w:val="28"/>
          <w:szCs w:val="28"/>
          <w:rtl/>
        </w:rPr>
        <w:t xml:space="preserve"> </w:t>
      </w:r>
    </w:p>
    <w:p w:rsidR="002D3675" w:rsidRPr="002F65E9" w:rsidRDefault="00A46A1F" w:rsidP="00A46A1F">
      <w:pPr>
        <w:pStyle w:val="af0"/>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גם אין </w:t>
      </w:r>
      <w:r w:rsidR="008A25D7" w:rsidRPr="002F65E9">
        <w:rPr>
          <w:rFonts w:ascii="FrankRuehl" w:hAnsi="FrankRuehl" w:cs="FrankRuehl"/>
          <w:sz w:val="28"/>
          <w:szCs w:val="28"/>
          <w:rtl/>
        </w:rPr>
        <w:t>לחייב את הנתבעת בשל שווי דמי השימוש</w:t>
      </w:r>
      <w:r>
        <w:rPr>
          <w:rFonts w:ascii="FrankRuehl" w:hAnsi="FrankRuehl" w:cs="FrankRuehl" w:hint="cs"/>
          <w:sz w:val="28"/>
          <w:szCs w:val="28"/>
          <w:rtl/>
        </w:rPr>
        <w:t xml:space="preserve"> - </w:t>
      </w:r>
      <w:r w:rsidR="008A25D7" w:rsidRPr="002F65E9">
        <w:rPr>
          <w:rFonts w:ascii="FrankRuehl" w:hAnsi="FrankRuehl" w:cs="FrankRuehl"/>
          <w:sz w:val="28"/>
          <w:szCs w:val="28"/>
          <w:rtl/>
        </w:rPr>
        <w:t>משלא ערך התובע אבחנה בין שווי דמי השימוש לדירה בה החזיקה הנתבעת</w:t>
      </w:r>
      <w:r w:rsidR="00D82491" w:rsidRPr="002F65E9">
        <w:rPr>
          <w:rFonts w:ascii="FrankRuehl" w:hAnsi="FrankRuehl" w:cs="FrankRuehl"/>
          <w:sz w:val="28"/>
          <w:szCs w:val="28"/>
          <w:rtl/>
        </w:rPr>
        <w:t>, אחת מ-3 יחידות דיור,</w:t>
      </w:r>
      <w:r w:rsidR="008A25D7" w:rsidRPr="002F65E9">
        <w:rPr>
          <w:rFonts w:ascii="FrankRuehl" w:hAnsi="FrankRuehl" w:cs="FrankRuehl"/>
          <w:sz w:val="28"/>
          <w:szCs w:val="28"/>
          <w:rtl/>
        </w:rPr>
        <w:t xml:space="preserve"> לבין השווי הנטען, הרי שלא הוכיח רכיב זה של תביעתו ו</w:t>
      </w:r>
      <w:r w:rsidR="00D82491" w:rsidRPr="002F65E9">
        <w:rPr>
          <w:rFonts w:ascii="FrankRuehl" w:hAnsi="FrankRuehl" w:cs="FrankRuehl"/>
          <w:sz w:val="28"/>
          <w:szCs w:val="28"/>
          <w:rtl/>
        </w:rPr>
        <w:t>הוא נדחה.</w:t>
      </w:r>
    </w:p>
    <w:p w:rsidR="00D23E97" w:rsidRPr="002F65E9" w:rsidRDefault="00D23E97" w:rsidP="00D82491">
      <w:pPr>
        <w:pStyle w:val="af0"/>
        <w:spacing w:line="360" w:lineRule="auto"/>
        <w:ind w:left="360"/>
        <w:jc w:val="both"/>
        <w:rPr>
          <w:rFonts w:ascii="FrankRuehl" w:hAnsi="FrankRuehl" w:cs="FrankRuehl"/>
          <w:sz w:val="28"/>
          <w:szCs w:val="28"/>
          <w:rtl/>
        </w:rPr>
      </w:pPr>
    </w:p>
    <w:p w:rsidR="00D23E97" w:rsidRPr="002F65E9" w:rsidRDefault="00D23E97" w:rsidP="005F2A31">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לגופו של </w:t>
      </w:r>
      <w:r w:rsidRPr="002F65E9">
        <w:rPr>
          <w:rFonts w:ascii="FrankRuehl" w:hAnsi="FrankRuehl" w:cs="FrankRuehl"/>
          <w:sz w:val="28"/>
          <w:szCs w:val="28"/>
          <w:u w:val="single"/>
          <w:rtl/>
        </w:rPr>
        <w:t>גובה החיוב</w:t>
      </w:r>
      <w:r w:rsidRPr="002F65E9">
        <w:rPr>
          <w:rFonts w:ascii="FrankRuehl" w:hAnsi="FrankRuehl" w:cs="FrankRuehl"/>
          <w:sz w:val="28"/>
          <w:szCs w:val="28"/>
          <w:rtl/>
        </w:rPr>
        <w:t xml:space="preserve">, גם אם היה מקום לחייב את הנתבעת בחלק מתשלום דמי שימוש עבור מגוריה בדירה שהיא חלק מהבניין, הרי שהתובע לא פירט כיצד הגיע לחיוב נתבע וגובה החיוב לא הוכח, תביעתו היא לסך 4,000 ₪ לחודש מבלי לפרט על בסיס מה וכיצד חושב </w:t>
      </w:r>
      <w:r w:rsidR="005F2A31" w:rsidRPr="002F65E9">
        <w:rPr>
          <w:rFonts w:ascii="FrankRuehl" w:hAnsi="FrankRuehl" w:cs="FrankRuehl"/>
          <w:sz w:val="28"/>
          <w:szCs w:val="28"/>
          <w:rtl/>
        </w:rPr>
        <w:t>סכום זה. אין די בהפני</w:t>
      </w:r>
      <w:r w:rsidRPr="002F65E9">
        <w:rPr>
          <w:rFonts w:ascii="FrankRuehl" w:hAnsi="FrankRuehl" w:cs="FrankRuehl"/>
          <w:sz w:val="28"/>
          <w:szCs w:val="28"/>
          <w:rtl/>
        </w:rPr>
        <w:t xml:space="preserve">ה לחוות דעת השמאי שנתן חוות דעתו ביחס לשווי הנכס, להבדיל מדמי השימוש, מה גם שכאמור, הנתבעת עשתה שימוש רק בחלק מהנכס. </w:t>
      </w:r>
    </w:p>
    <w:p w:rsidR="002D3675" w:rsidRPr="002F65E9" w:rsidRDefault="002D3675" w:rsidP="002D3675">
      <w:pPr>
        <w:pStyle w:val="af0"/>
        <w:spacing w:line="360" w:lineRule="auto"/>
        <w:ind w:left="360"/>
        <w:jc w:val="both"/>
        <w:rPr>
          <w:rFonts w:ascii="FrankRuehl" w:hAnsi="FrankRuehl" w:cs="FrankRuehl"/>
          <w:sz w:val="28"/>
          <w:szCs w:val="28"/>
          <w:rtl/>
        </w:rPr>
      </w:pPr>
    </w:p>
    <w:p w:rsidR="002D3675" w:rsidRPr="002F65E9" w:rsidRDefault="002D3675" w:rsidP="00D82491">
      <w:pPr>
        <w:pStyle w:val="af0"/>
        <w:spacing w:line="360" w:lineRule="auto"/>
        <w:ind w:left="360"/>
        <w:jc w:val="both"/>
        <w:rPr>
          <w:rFonts w:ascii="FrankRuehl" w:hAnsi="FrankRuehl" w:cs="FrankRuehl"/>
          <w:sz w:val="28"/>
          <w:szCs w:val="28"/>
        </w:rPr>
      </w:pPr>
      <w:r w:rsidRPr="002F65E9">
        <w:rPr>
          <w:rFonts w:ascii="FrankRuehl" w:hAnsi="FrankRuehl" w:cs="FrankRuehl"/>
          <w:sz w:val="28"/>
          <w:szCs w:val="28"/>
          <w:rtl/>
        </w:rPr>
        <w:t>משמעות הדבר כי יש לדחות תביעת התובע לדמי שימוש ראויים</w:t>
      </w:r>
      <w:r w:rsidR="00D82491" w:rsidRPr="002F65E9">
        <w:rPr>
          <w:rFonts w:ascii="FrankRuehl" w:hAnsi="FrankRuehl" w:cs="FrankRuehl"/>
          <w:sz w:val="28"/>
          <w:szCs w:val="28"/>
          <w:rtl/>
        </w:rPr>
        <w:t xml:space="preserve"> הן בשל אי הוכחת הסכום והן לגופו של החיוב</w:t>
      </w:r>
      <w:r w:rsidRPr="002F65E9">
        <w:rPr>
          <w:rFonts w:ascii="FrankRuehl" w:hAnsi="FrankRuehl" w:cs="FrankRuehl"/>
          <w:sz w:val="28"/>
          <w:szCs w:val="28"/>
          <w:rtl/>
        </w:rPr>
        <w:t>.</w:t>
      </w:r>
    </w:p>
    <w:p w:rsidR="00D209DC" w:rsidRPr="002F65E9" w:rsidRDefault="00D209DC" w:rsidP="00D209DC">
      <w:pPr>
        <w:pStyle w:val="af0"/>
        <w:spacing w:line="360" w:lineRule="auto"/>
        <w:ind w:left="360"/>
        <w:jc w:val="both"/>
        <w:rPr>
          <w:rFonts w:ascii="FrankRuehl" w:hAnsi="FrankRuehl" w:cs="FrankRuehl"/>
          <w:sz w:val="28"/>
          <w:szCs w:val="28"/>
        </w:rPr>
      </w:pPr>
    </w:p>
    <w:p w:rsidR="00BD074E" w:rsidRPr="002F65E9" w:rsidRDefault="00C678DD" w:rsidP="00BD074E">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b/>
          <w:bCs/>
          <w:sz w:val="28"/>
          <w:szCs w:val="28"/>
          <w:rtl/>
        </w:rPr>
        <w:t>אשר לרכיב בתביעה בעניין שכר הדירה ששילם אחי הנתבעת,</w:t>
      </w:r>
      <w:r w:rsidR="00BD074E" w:rsidRPr="002F65E9">
        <w:rPr>
          <w:rFonts w:ascii="FrankRuehl" w:hAnsi="FrankRuehl" w:cs="FrankRuehl"/>
          <w:b/>
          <w:bCs/>
          <w:sz w:val="28"/>
          <w:szCs w:val="28"/>
          <w:rtl/>
        </w:rPr>
        <w:t xml:space="preserve"> אני דוחה את הטענה</w:t>
      </w:r>
      <w:r w:rsidR="00BD074E" w:rsidRPr="002F65E9">
        <w:rPr>
          <w:rFonts w:ascii="FrankRuehl" w:hAnsi="FrankRuehl" w:cs="FrankRuehl"/>
          <w:sz w:val="28"/>
          <w:szCs w:val="28"/>
          <w:rtl/>
        </w:rPr>
        <w:t xml:space="preserve">. </w:t>
      </w:r>
    </w:p>
    <w:p w:rsidR="00BD074E" w:rsidRPr="002F65E9" w:rsidRDefault="00BD074E" w:rsidP="00BD074E">
      <w:pPr>
        <w:pStyle w:val="af0"/>
        <w:rPr>
          <w:rFonts w:ascii="FrankRuehl" w:hAnsi="FrankRuehl" w:cs="FrankRuehl"/>
          <w:sz w:val="28"/>
          <w:szCs w:val="28"/>
          <w:rtl/>
        </w:rPr>
      </w:pPr>
    </w:p>
    <w:p w:rsidR="00BD074E" w:rsidRPr="002F65E9" w:rsidRDefault="00C678DD" w:rsidP="00BD074E">
      <w:pPr>
        <w:pStyle w:val="af0"/>
        <w:spacing w:line="360" w:lineRule="auto"/>
        <w:ind w:left="360"/>
        <w:jc w:val="both"/>
        <w:rPr>
          <w:rFonts w:ascii="FrankRuehl" w:hAnsi="FrankRuehl" w:cs="FrankRuehl"/>
          <w:sz w:val="28"/>
          <w:szCs w:val="28"/>
        </w:rPr>
      </w:pPr>
      <w:r w:rsidRPr="002F65E9">
        <w:rPr>
          <w:rFonts w:ascii="FrankRuehl" w:hAnsi="FrankRuehl" w:cs="FrankRuehl"/>
          <w:sz w:val="28"/>
          <w:szCs w:val="28"/>
          <w:rtl/>
        </w:rPr>
        <w:t>התובע צרף הסכם שכירות שנחזה להיות חתום בינו ובין אחי הנתבעת, מוצג 14 לתיק מוצגיו. התובע אשר כאמור ויתר על חקירות עדים, לא הכחיש ב</w:t>
      </w:r>
      <w:r w:rsidR="00383298" w:rsidRPr="002F65E9">
        <w:rPr>
          <w:rFonts w:ascii="FrankRuehl" w:hAnsi="FrankRuehl" w:cs="FrankRuehl"/>
          <w:sz w:val="28"/>
          <w:szCs w:val="28"/>
          <w:rtl/>
        </w:rPr>
        <w:t xml:space="preserve">סיכומיו </w:t>
      </w:r>
      <w:r w:rsidRPr="002F65E9">
        <w:rPr>
          <w:rFonts w:ascii="FrankRuehl" w:hAnsi="FrankRuehl" w:cs="FrankRuehl"/>
          <w:sz w:val="28"/>
          <w:szCs w:val="28"/>
          <w:rtl/>
        </w:rPr>
        <w:t>את חתימתו על הסכם השכירות וכאמור, צירף את ההסכם למוצגיו</w:t>
      </w:r>
      <w:r w:rsidR="00383298" w:rsidRPr="002F65E9">
        <w:rPr>
          <w:rFonts w:ascii="FrankRuehl" w:hAnsi="FrankRuehl" w:cs="FrankRuehl"/>
          <w:sz w:val="28"/>
          <w:szCs w:val="28"/>
          <w:rtl/>
        </w:rPr>
        <w:t xml:space="preserve"> כתביעה ברכיב זה שבתביעתו</w:t>
      </w:r>
      <w:r w:rsidR="00D5218A">
        <w:rPr>
          <w:rFonts w:ascii="FrankRuehl" w:hAnsi="FrankRuehl" w:cs="FrankRuehl"/>
          <w:sz w:val="28"/>
          <w:szCs w:val="28"/>
          <w:rtl/>
        </w:rPr>
        <w:t>.</w:t>
      </w:r>
    </w:p>
    <w:p w:rsidR="00BD074E" w:rsidRPr="002F65E9" w:rsidRDefault="00BD074E" w:rsidP="00BD074E">
      <w:pPr>
        <w:pStyle w:val="af0"/>
        <w:rPr>
          <w:rFonts w:ascii="FrankRuehl" w:hAnsi="FrankRuehl" w:cs="FrankRuehl"/>
          <w:sz w:val="28"/>
          <w:szCs w:val="28"/>
          <w:rtl/>
        </w:rPr>
      </w:pPr>
    </w:p>
    <w:p w:rsidR="00383298" w:rsidRPr="002F65E9" w:rsidRDefault="00383298" w:rsidP="00A46A1F">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טענת התובע </w:t>
      </w:r>
      <w:r w:rsidR="00BD074E" w:rsidRPr="002F65E9">
        <w:rPr>
          <w:rFonts w:ascii="FrankRuehl" w:hAnsi="FrankRuehl" w:cs="FrankRuehl"/>
          <w:sz w:val="28"/>
          <w:szCs w:val="28"/>
          <w:rtl/>
        </w:rPr>
        <w:t>כי</w:t>
      </w:r>
      <w:r w:rsidRPr="002F65E9">
        <w:rPr>
          <w:rFonts w:ascii="FrankRuehl" w:hAnsi="FrankRuehl" w:cs="FrankRuehl"/>
          <w:sz w:val="28"/>
          <w:szCs w:val="28"/>
          <w:rtl/>
        </w:rPr>
        <w:t xml:space="preserve"> מאחר והנתבע</w:t>
      </w:r>
      <w:r w:rsidR="00D5218A">
        <w:rPr>
          <w:rFonts w:ascii="FrankRuehl" w:hAnsi="FrankRuehl" w:cs="FrankRuehl" w:hint="cs"/>
          <w:sz w:val="28"/>
          <w:szCs w:val="28"/>
          <w:rtl/>
        </w:rPr>
        <w:t>ת</w:t>
      </w:r>
      <w:r w:rsidR="00A46A1F">
        <w:rPr>
          <w:rFonts w:ascii="FrankRuehl" w:hAnsi="FrankRuehl" w:cs="FrankRuehl"/>
          <w:sz w:val="28"/>
          <w:szCs w:val="28"/>
          <w:rtl/>
        </w:rPr>
        <w:t xml:space="preserve"> גבתה</w:t>
      </w:r>
      <w:r w:rsidRPr="002F65E9">
        <w:rPr>
          <w:rFonts w:ascii="FrankRuehl" w:hAnsi="FrankRuehl" w:cs="FrankRuehl"/>
          <w:sz w:val="28"/>
          <w:szCs w:val="28"/>
          <w:rtl/>
        </w:rPr>
        <w:t xml:space="preserve"> דמי השכירות, הר</w:t>
      </w:r>
      <w:r w:rsidR="00D5218A">
        <w:rPr>
          <w:rFonts w:ascii="FrankRuehl" w:hAnsi="FrankRuehl" w:cs="FrankRuehl"/>
          <w:sz w:val="28"/>
          <w:szCs w:val="28"/>
          <w:rtl/>
        </w:rPr>
        <w:t>י שהדבר מעיד על אי</w:t>
      </w:r>
      <w:r w:rsidR="00D5218A">
        <w:rPr>
          <w:rFonts w:ascii="FrankRuehl" w:hAnsi="FrankRuehl" w:cs="FrankRuehl" w:hint="cs"/>
          <w:sz w:val="28"/>
          <w:szCs w:val="28"/>
          <w:rtl/>
        </w:rPr>
        <w:t>-</w:t>
      </w:r>
      <w:r w:rsidR="00BD074E" w:rsidRPr="002F65E9">
        <w:rPr>
          <w:rFonts w:ascii="FrankRuehl" w:hAnsi="FrankRuehl" w:cs="FrankRuehl"/>
          <w:sz w:val="28"/>
          <w:szCs w:val="28"/>
          <w:rtl/>
        </w:rPr>
        <w:t xml:space="preserve">ידיעתו </w:t>
      </w:r>
      <w:r w:rsidR="00A46A1F">
        <w:rPr>
          <w:rFonts w:ascii="FrankRuehl" w:hAnsi="FrankRuehl" w:cs="FrankRuehl" w:hint="cs"/>
          <w:sz w:val="28"/>
          <w:szCs w:val="28"/>
          <w:rtl/>
        </w:rPr>
        <w:t>כי שולמו</w:t>
      </w:r>
      <w:r w:rsidR="00BD074E" w:rsidRPr="002F65E9">
        <w:rPr>
          <w:rFonts w:ascii="FrankRuehl" w:hAnsi="FrankRuehl" w:cs="FrankRuehl"/>
          <w:sz w:val="28"/>
          <w:szCs w:val="28"/>
          <w:rtl/>
        </w:rPr>
        <w:t>, אי</w:t>
      </w:r>
      <w:r w:rsidR="00A46A1F">
        <w:rPr>
          <w:rFonts w:ascii="FrankRuehl" w:hAnsi="FrankRuehl" w:cs="FrankRuehl" w:hint="cs"/>
          <w:sz w:val="28"/>
          <w:szCs w:val="28"/>
          <w:rtl/>
        </w:rPr>
        <w:t xml:space="preserve">ן בה לתמוך בטענתו, </w:t>
      </w:r>
      <w:r w:rsidR="00BD074E" w:rsidRPr="002F65E9">
        <w:rPr>
          <w:rFonts w:ascii="FrankRuehl" w:hAnsi="FrankRuehl" w:cs="FrankRuehl"/>
          <w:sz w:val="28"/>
          <w:szCs w:val="28"/>
          <w:rtl/>
        </w:rPr>
        <w:t xml:space="preserve">, הן מאחר והאחד </w:t>
      </w:r>
      <w:r w:rsidR="00A46A1F">
        <w:rPr>
          <w:rFonts w:ascii="FrankRuehl" w:hAnsi="FrankRuehl" w:cs="FrankRuehl" w:hint="cs"/>
          <w:sz w:val="28"/>
          <w:szCs w:val="28"/>
          <w:rtl/>
        </w:rPr>
        <w:t xml:space="preserve">אינו </w:t>
      </w:r>
      <w:r w:rsidR="00BD074E" w:rsidRPr="002F65E9">
        <w:rPr>
          <w:rFonts w:ascii="FrankRuehl" w:hAnsi="FrankRuehl" w:cs="FrankRuehl"/>
          <w:sz w:val="28"/>
          <w:szCs w:val="28"/>
          <w:rtl/>
        </w:rPr>
        <w:t>מעיד על השני והן מאחר ובעדות האח עליה נסמך התובע</w:t>
      </w:r>
      <w:r w:rsidR="00A46A1F">
        <w:rPr>
          <w:rFonts w:ascii="FrankRuehl" w:hAnsi="FrankRuehl" w:cs="FrankRuehl" w:hint="cs"/>
          <w:sz w:val="28"/>
          <w:szCs w:val="28"/>
          <w:rtl/>
        </w:rPr>
        <w:t xml:space="preserve"> (</w:t>
      </w:r>
      <w:r w:rsidR="00A46A1F">
        <w:rPr>
          <w:rFonts w:ascii="FrankRuehl" w:hAnsi="FrankRuehl" w:cs="FrankRuehl"/>
          <w:sz w:val="28"/>
          <w:szCs w:val="28"/>
          <w:rtl/>
        </w:rPr>
        <w:t xml:space="preserve">דיון מיום 23/12/2021 בהליך </w:t>
      </w:r>
      <w:r w:rsidR="00BD074E" w:rsidRPr="002F65E9">
        <w:rPr>
          <w:rFonts w:ascii="FrankRuehl" w:hAnsi="FrankRuehl" w:cs="FrankRuehl"/>
          <w:sz w:val="28"/>
          <w:szCs w:val="28"/>
          <w:rtl/>
        </w:rPr>
        <w:t>קשור</w:t>
      </w:r>
      <w:r w:rsidR="00A46A1F">
        <w:rPr>
          <w:rFonts w:ascii="FrankRuehl" w:hAnsi="FrankRuehl" w:cs="FrankRuehl" w:hint="cs"/>
          <w:sz w:val="28"/>
          <w:szCs w:val="28"/>
          <w:rtl/>
        </w:rPr>
        <w:t>)</w:t>
      </w:r>
      <w:r w:rsidR="00BD074E" w:rsidRPr="002F65E9">
        <w:rPr>
          <w:rFonts w:ascii="FrankRuehl" w:hAnsi="FrankRuehl" w:cs="FrankRuehl"/>
          <w:sz w:val="28"/>
          <w:szCs w:val="28"/>
          <w:rtl/>
        </w:rPr>
        <w:t xml:space="preserve">, העיד האח כי "רוב הזמן" היה משלם לנתבעת – מה שאינו סותר את העובדה כי במקרים אחרים שילם לתובע. </w:t>
      </w:r>
      <w:r w:rsidR="00A73173" w:rsidRPr="002F65E9">
        <w:rPr>
          <w:rFonts w:ascii="FrankRuehl" w:hAnsi="FrankRuehl" w:cs="FrankRuehl"/>
          <w:sz w:val="28"/>
          <w:szCs w:val="28"/>
          <w:rtl/>
        </w:rPr>
        <w:t>מה גם שהתובע טען כי למעשה ידע שהאח חב בדמי שכירות. כעולה מסעיף 24 לסיכומיו.</w:t>
      </w:r>
      <w:r w:rsidR="00F12E03" w:rsidRPr="002F65E9">
        <w:rPr>
          <w:rFonts w:ascii="FrankRuehl" w:hAnsi="FrankRuehl" w:cs="FrankRuehl"/>
          <w:sz w:val="28"/>
          <w:szCs w:val="28"/>
          <w:rtl/>
        </w:rPr>
        <w:t xml:space="preserve"> טענתו שם סותרת טענתו כי לא ידע על כי האח חב בשכר דירה ומשכך גם, משידע, הרי שרכיב זה בתביעתו התיישן.</w:t>
      </w:r>
    </w:p>
    <w:p w:rsidR="00D209DC" w:rsidRPr="002F65E9" w:rsidRDefault="00D209DC" w:rsidP="00D209DC">
      <w:pPr>
        <w:spacing w:line="360" w:lineRule="auto"/>
        <w:jc w:val="both"/>
        <w:rPr>
          <w:rFonts w:ascii="FrankRuehl" w:hAnsi="FrankRuehl" w:cs="FrankRuehl"/>
          <w:sz w:val="28"/>
          <w:szCs w:val="28"/>
          <w:rtl/>
        </w:rPr>
      </w:pPr>
    </w:p>
    <w:p w:rsidR="00D209DC" w:rsidRPr="002F65E9" w:rsidRDefault="00D209DC" w:rsidP="00D209DC">
      <w:pPr>
        <w:pStyle w:val="af0"/>
        <w:spacing w:line="360" w:lineRule="auto"/>
        <w:ind w:left="360"/>
        <w:jc w:val="both"/>
        <w:rPr>
          <w:rFonts w:ascii="FrankRuehl" w:hAnsi="FrankRuehl" w:cs="FrankRuehl"/>
          <w:sz w:val="28"/>
          <w:szCs w:val="28"/>
        </w:rPr>
      </w:pPr>
      <w:r w:rsidRPr="002F65E9">
        <w:rPr>
          <w:rFonts w:ascii="FrankRuehl" w:hAnsi="FrankRuehl" w:cs="FrankRuehl"/>
          <w:sz w:val="28"/>
          <w:szCs w:val="28"/>
          <w:rtl/>
        </w:rPr>
        <w:t>נוסף על כך, עולה מחוות הדעת כי התובע עצמו, מסר לשמאי כי הדירה בקומת הקרקע הושכרה לצד ג' – היינו אחי הנתבעת. ראו סעיף 4(ב)(ד) בחוות הדעת, עמוד 5 בחוות הדעת.</w:t>
      </w:r>
    </w:p>
    <w:p w:rsidR="00D209DC" w:rsidRPr="002F65E9" w:rsidRDefault="00D209DC" w:rsidP="00A73173">
      <w:pPr>
        <w:pStyle w:val="af0"/>
        <w:spacing w:line="360" w:lineRule="auto"/>
        <w:ind w:left="360"/>
        <w:jc w:val="both"/>
        <w:rPr>
          <w:rFonts w:ascii="FrankRuehl" w:hAnsi="FrankRuehl" w:cs="FrankRuehl"/>
          <w:sz w:val="28"/>
          <w:szCs w:val="28"/>
          <w:rtl/>
        </w:rPr>
      </w:pPr>
    </w:p>
    <w:p w:rsidR="00327E32" w:rsidRDefault="00327E32" w:rsidP="00A46A1F">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b/>
          <w:bCs/>
          <w:sz w:val="28"/>
          <w:szCs w:val="28"/>
          <w:rtl/>
        </w:rPr>
        <w:t>אשר לרכיב התביעה בעניין תשלומי ארנונה, חשמל ומים, גם רכיב זה נדחה</w:t>
      </w:r>
      <w:r w:rsidR="009C63BE" w:rsidRPr="002F65E9">
        <w:rPr>
          <w:rFonts w:ascii="FrankRuehl" w:hAnsi="FrankRuehl" w:cs="FrankRuehl"/>
          <w:b/>
          <w:bCs/>
          <w:sz w:val="28"/>
          <w:szCs w:val="28"/>
          <w:rtl/>
        </w:rPr>
        <w:t xml:space="preserve">, הן בשל השתק ומעשה בי-דין והן לגופו </w:t>
      </w:r>
      <w:r w:rsidR="009C63BE" w:rsidRPr="002F65E9">
        <w:rPr>
          <w:rFonts w:ascii="FrankRuehl" w:hAnsi="FrankRuehl" w:cs="FrankRuehl"/>
          <w:sz w:val="28"/>
          <w:szCs w:val="28"/>
          <w:rtl/>
        </w:rPr>
        <w:t>מ</w:t>
      </w:r>
      <w:r w:rsidRPr="002F65E9">
        <w:rPr>
          <w:rFonts w:ascii="FrankRuehl" w:hAnsi="FrankRuehl" w:cs="FrankRuehl"/>
          <w:sz w:val="28"/>
          <w:szCs w:val="28"/>
          <w:rtl/>
        </w:rPr>
        <w:t>אחר והתובע לא הוכיח את הסכומים ששילם</w:t>
      </w:r>
      <w:r w:rsidR="007F728E" w:rsidRPr="002F65E9">
        <w:rPr>
          <w:rFonts w:ascii="FrankRuehl" w:hAnsi="FrankRuehl" w:cs="FrankRuehl"/>
          <w:sz w:val="28"/>
          <w:szCs w:val="28"/>
          <w:rtl/>
        </w:rPr>
        <w:t xml:space="preserve">, מה גם שהוא התגורר בקומה השנייה עד ליום 01/01/2021 ולא </w:t>
      </w:r>
      <w:r w:rsidR="00A46A1F" w:rsidRPr="002F65E9">
        <w:rPr>
          <w:rFonts w:ascii="FrankRuehl" w:hAnsi="FrankRuehl" w:cs="FrankRuehl" w:hint="cs"/>
          <w:sz w:val="28"/>
          <w:szCs w:val="28"/>
          <w:rtl/>
        </w:rPr>
        <w:t>א</w:t>
      </w:r>
      <w:r w:rsidR="00A46A1F">
        <w:rPr>
          <w:rFonts w:ascii="FrankRuehl" w:hAnsi="FrankRuehl" w:cs="FrankRuehl" w:hint="cs"/>
          <w:sz w:val="28"/>
          <w:szCs w:val="28"/>
          <w:rtl/>
        </w:rPr>
        <w:t>ב</w:t>
      </w:r>
      <w:r w:rsidR="00A46A1F" w:rsidRPr="002F65E9">
        <w:rPr>
          <w:rFonts w:ascii="FrankRuehl" w:hAnsi="FrankRuehl" w:cs="FrankRuehl" w:hint="cs"/>
          <w:sz w:val="28"/>
          <w:szCs w:val="28"/>
          <w:rtl/>
        </w:rPr>
        <w:t>חן</w:t>
      </w:r>
      <w:r w:rsidR="007F728E" w:rsidRPr="002F65E9">
        <w:rPr>
          <w:rFonts w:ascii="FrankRuehl" w:hAnsi="FrankRuehl" w:cs="FrankRuehl"/>
          <w:sz w:val="28"/>
          <w:szCs w:val="28"/>
          <w:rtl/>
        </w:rPr>
        <w:t xml:space="preserve"> בין חלקו בגי</w:t>
      </w:r>
      <w:r w:rsidR="00D65FD4" w:rsidRPr="002F65E9">
        <w:rPr>
          <w:rFonts w:ascii="FrankRuehl" w:hAnsi="FrankRuehl" w:cs="FrankRuehl"/>
          <w:sz w:val="28"/>
          <w:szCs w:val="28"/>
          <w:rtl/>
        </w:rPr>
        <w:t>ן</w:t>
      </w:r>
      <w:r w:rsidR="007F728E" w:rsidRPr="002F65E9">
        <w:rPr>
          <w:rFonts w:ascii="FrankRuehl" w:hAnsi="FrankRuehl" w:cs="FrankRuehl"/>
          <w:sz w:val="28"/>
          <w:szCs w:val="28"/>
          <w:rtl/>
        </w:rPr>
        <w:t xml:space="preserve"> החזקתו ובין הסכומים הנתבעים.</w:t>
      </w:r>
    </w:p>
    <w:p w:rsidR="00D5218A" w:rsidRPr="00A46A1F" w:rsidRDefault="00D5218A" w:rsidP="00D5218A">
      <w:pPr>
        <w:pStyle w:val="af0"/>
        <w:spacing w:line="360" w:lineRule="auto"/>
        <w:ind w:left="360"/>
        <w:jc w:val="both"/>
        <w:rPr>
          <w:rFonts w:ascii="FrankRuehl" w:hAnsi="FrankRuehl" w:cs="FrankRuehl"/>
          <w:sz w:val="28"/>
          <w:szCs w:val="28"/>
        </w:rPr>
      </w:pPr>
    </w:p>
    <w:p w:rsidR="00D65FD4" w:rsidRPr="00A46A1F" w:rsidRDefault="00D65FD4" w:rsidP="00D65FD4">
      <w:pPr>
        <w:pStyle w:val="af0"/>
        <w:spacing w:line="360" w:lineRule="auto"/>
        <w:ind w:left="360"/>
        <w:jc w:val="both"/>
        <w:rPr>
          <w:rFonts w:ascii="FrankRuehl" w:hAnsi="FrankRuehl" w:cs="FrankRuehl"/>
          <w:sz w:val="28"/>
          <w:szCs w:val="28"/>
        </w:rPr>
      </w:pPr>
      <w:r w:rsidRPr="002F65E9">
        <w:rPr>
          <w:rFonts w:ascii="FrankRuehl" w:hAnsi="FrankRuehl" w:cs="FrankRuehl"/>
          <w:b/>
          <w:bCs/>
          <w:sz w:val="28"/>
          <w:szCs w:val="28"/>
          <w:rtl/>
        </w:rPr>
        <w:t xml:space="preserve">אשר למעשה בי-דין והשתק, </w:t>
      </w:r>
      <w:r w:rsidRPr="00A46A1F">
        <w:rPr>
          <w:rFonts w:ascii="FrankRuehl" w:hAnsi="FrankRuehl" w:cs="FrankRuehl"/>
          <w:sz w:val="28"/>
          <w:szCs w:val="28"/>
          <w:rtl/>
        </w:rPr>
        <w:t>אפנה לעמוד 3 שורות 21-24 שם פורטו טענות התובע כפי שהובאו בהליך הקשור מושא פסה"ד מיום 13/11/2022 בהליך 41667-09-20.</w:t>
      </w:r>
    </w:p>
    <w:p w:rsidR="00327E32" w:rsidRPr="002F65E9" w:rsidRDefault="00327E32" w:rsidP="00327E32">
      <w:pPr>
        <w:pStyle w:val="af0"/>
        <w:spacing w:line="360" w:lineRule="auto"/>
        <w:ind w:left="360"/>
        <w:jc w:val="both"/>
        <w:rPr>
          <w:rFonts w:ascii="FrankRuehl" w:hAnsi="FrankRuehl" w:cs="FrankRuehl"/>
          <w:b/>
          <w:bCs/>
          <w:sz w:val="28"/>
          <w:szCs w:val="28"/>
          <w:rtl/>
        </w:rPr>
      </w:pPr>
    </w:p>
    <w:p w:rsidR="00A46A1F" w:rsidRDefault="00A46A1F" w:rsidP="00A46A1F">
      <w:pPr>
        <w:pStyle w:val="af0"/>
        <w:spacing w:line="360" w:lineRule="auto"/>
        <w:ind w:left="360"/>
        <w:jc w:val="both"/>
        <w:rPr>
          <w:rFonts w:ascii="FrankRuehl" w:hAnsi="FrankRuehl" w:cs="FrankRuehl"/>
          <w:b/>
          <w:bCs/>
          <w:sz w:val="28"/>
          <w:szCs w:val="28"/>
          <w:rtl/>
        </w:rPr>
      </w:pPr>
      <w:r w:rsidRPr="00A46A1F">
        <w:rPr>
          <w:rFonts w:ascii="FrankRuehl" w:hAnsi="FrankRuehl" w:cs="FrankRuehl" w:hint="cs"/>
          <w:b/>
          <w:bCs/>
          <w:sz w:val="28"/>
          <w:szCs w:val="28"/>
          <w:rtl/>
        </w:rPr>
        <w:t xml:space="preserve">אשר </w:t>
      </w:r>
      <w:r>
        <w:rPr>
          <w:rFonts w:ascii="FrankRuehl" w:hAnsi="FrankRuehl" w:cs="FrankRuehl" w:hint="cs"/>
          <w:b/>
          <w:bCs/>
          <w:sz w:val="28"/>
          <w:szCs w:val="28"/>
          <w:rtl/>
        </w:rPr>
        <w:t>לגופו של עניין;</w:t>
      </w:r>
    </w:p>
    <w:p w:rsidR="00A46A1F" w:rsidRDefault="00A46A1F" w:rsidP="00A46A1F">
      <w:pPr>
        <w:pStyle w:val="af0"/>
        <w:spacing w:line="360" w:lineRule="auto"/>
        <w:ind w:left="360"/>
        <w:jc w:val="both"/>
        <w:rPr>
          <w:rFonts w:ascii="FrankRuehl" w:hAnsi="FrankRuehl" w:cs="FrankRuehl"/>
          <w:b/>
          <w:bCs/>
          <w:sz w:val="28"/>
          <w:szCs w:val="28"/>
          <w:rtl/>
        </w:rPr>
      </w:pPr>
    </w:p>
    <w:p w:rsidR="003C719F" w:rsidRPr="002F65E9" w:rsidRDefault="00A46A1F" w:rsidP="00DA07D2">
      <w:pPr>
        <w:pStyle w:val="af0"/>
        <w:spacing w:line="360" w:lineRule="auto"/>
        <w:ind w:left="360"/>
        <w:jc w:val="both"/>
        <w:rPr>
          <w:rFonts w:ascii="FrankRuehl" w:hAnsi="FrankRuehl" w:cs="FrankRuehl"/>
          <w:sz w:val="28"/>
          <w:szCs w:val="28"/>
          <w:rtl/>
        </w:rPr>
      </w:pPr>
      <w:r>
        <w:rPr>
          <w:rFonts w:ascii="FrankRuehl" w:hAnsi="FrankRuehl" w:cs="FrankRuehl" w:hint="cs"/>
          <w:b/>
          <w:bCs/>
          <w:sz w:val="28"/>
          <w:szCs w:val="28"/>
          <w:rtl/>
        </w:rPr>
        <w:t xml:space="preserve"> </w:t>
      </w:r>
      <w:r w:rsidR="00327E32" w:rsidRPr="002F65E9">
        <w:rPr>
          <w:rFonts w:ascii="FrankRuehl" w:hAnsi="FrankRuehl" w:cs="FrankRuehl"/>
          <w:b/>
          <w:bCs/>
          <w:sz w:val="28"/>
          <w:szCs w:val="28"/>
          <w:rtl/>
        </w:rPr>
        <w:t>ב</w:t>
      </w:r>
      <w:r w:rsidR="00222C5C" w:rsidRPr="002F65E9">
        <w:rPr>
          <w:rFonts w:ascii="FrankRuehl" w:hAnsi="FrankRuehl" w:cs="FrankRuehl"/>
          <w:b/>
          <w:bCs/>
          <w:sz w:val="28"/>
          <w:szCs w:val="28"/>
          <w:rtl/>
        </w:rPr>
        <w:t>עניין הארנונה</w:t>
      </w:r>
      <w:r w:rsidR="00222C5C" w:rsidRPr="002F65E9">
        <w:rPr>
          <w:rFonts w:ascii="FrankRuehl" w:hAnsi="FrankRuehl" w:cs="FrankRuehl"/>
          <w:sz w:val="28"/>
          <w:szCs w:val="28"/>
          <w:rtl/>
        </w:rPr>
        <w:t xml:space="preserve"> </w:t>
      </w:r>
      <w:r w:rsidR="00FD0433" w:rsidRPr="002F65E9">
        <w:rPr>
          <w:rFonts w:ascii="FrankRuehl" w:hAnsi="FrankRuehl" w:cs="FrankRuehl"/>
          <w:sz w:val="28"/>
          <w:szCs w:val="28"/>
          <w:rtl/>
        </w:rPr>
        <w:t xml:space="preserve">רכיב זה נסמך </w:t>
      </w:r>
      <w:r w:rsidR="00222C5C" w:rsidRPr="002F65E9">
        <w:rPr>
          <w:rFonts w:ascii="FrankRuehl" w:hAnsi="FrankRuehl" w:cs="FrankRuehl"/>
          <w:sz w:val="28"/>
          <w:szCs w:val="28"/>
          <w:rtl/>
        </w:rPr>
        <w:t xml:space="preserve">על "חישוב ממוצע", מבלי שהתובע </w:t>
      </w:r>
      <w:r w:rsidR="00FD0433" w:rsidRPr="002F65E9">
        <w:rPr>
          <w:rFonts w:ascii="FrankRuehl" w:hAnsi="FrankRuehl" w:cs="FrankRuehl"/>
          <w:sz w:val="28"/>
          <w:szCs w:val="28"/>
          <w:rtl/>
        </w:rPr>
        <w:t>פירט או ה</w:t>
      </w:r>
      <w:r w:rsidR="00222C5C" w:rsidRPr="002F65E9">
        <w:rPr>
          <w:rFonts w:ascii="FrankRuehl" w:hAnsi="FrankRuehl" w:cs="FrankRuehl"/>
          <w:sz w:val="28"/>
          <w:szCs w:val="28"/>
          <w:rtl/>
        </w:rPr>
        <w:t>וכיח אלו תשלומים שילם עבור אחזקת הדירה ואילו עבור נכסים אחרים, אם לאו.</w:t>
      </w:r>
      <w:r w:rsidR="006A2FDF" w:rsidRPr="002F65E9">
        <w:rPr>
          <w:rFonts w:ascii="FrankRuehl" w:hAnsi="FrankRuehl" w:cs="FrankRuehl"/>
          <w:sz w:val="28"/>
          <w:szCs w:val="28"/>
          <w:rtl/>
        </w:rPr>
        <w:t xml:space="preserve"> עיון בנספחים שצורפו כמוצג 16 מעלה כי בשנת 2023 נמסרו שיקים דחויים לתשלום ארנונה </w:t>
      </w:r>
      <w:r w:rsidR="006E1CEA" w:rsidRPr="002F65E9">
        <w:rPr>
          <w:rFonts w:ascii="FrankRuehl" w:hAnsi="FrankRuehl" w:cs="FrankRuehl"/>
          <w:sz w:val="28"/>
          <w:szCs w:val="28"/>
          <w:rtl/>
        </w:rPr>
        <w:t xml:space="preserve">לשנת 2023 </w:t>
      </w:r>
      <w:r w:rsidR="006A2FDF" w:rsidRPr="002F65E9">
        <w:rPr>
          <w:rFonts w:ascii="FrankRuehl" w:hAnsi="FrankRuehl" w:cs="FrankRuehl"/>
          <w:sz w:val="28"/>
          <w:szCs w:val="28"/>
          <w:rtl/>
        </w:rPr>
        <w:t>מבלי שפורט בגין איזה,</w:t>
      </w:r>
      <w:r w:rsidR="000674EA" w:rsidRPr="002F65E9">
        <w:rPr>
          <w:rFonts w:ascii="FrankRuehl" w:hAnsi="FrankRuehl" w:cs="FrankRuehl"/>
          <w:sz w:val="28"/>
          <w:szCs w:val="28"/>
          <w:rtl/>
        </w:rPr>
        <w:t xml:space="preserve"> עמוד 159 לתיק המוצגים, עמוד 161 לתיק המוצגים הוא תשלום לשנת 2021, על שם התובע ואשתו הנוכחית</w:t>
      </w:r>
      <w:r w:rsidR="003F15CD" w:rsidRPr="002F65E9">
        <w:rPr>
          <w:rFonts w:ascii="FrankRuehl" w:hAnsi="FrankRuehl" w:cs="FrankRuehl"/>
          <w:sz w:val="28"/>
          <w:szCs w:val="28"/>
          <w:rtl/>
        </w:rPr>
        <w:t xml:space="preserve"> לנכס שאינו הדירה - ר</w:t>
      </w:r>
      <w:r w:rsidR="000674EA" w:rsidRPr="002F65E9">
        <w:rPr>
          <w:rFonts w:ascii="FrankRuehl" w:hAnsi="FrankRuehl" w:cs="FrankRuehl"/>
          <w:sz w:val="28"/>
          <w:szCs w:val="28"/>
          <w:rtl/>
        </w:rPr>
        <w:t>או כי התשלום עבור נכס בגודל 110 מ"ר</w:t>
      </w:r>
      <w:r w:rsidR="003625C1" w:rsidRPr="002F65E9">
        <w:rPr>
          <w:rFonts w:ascii="FrankRuehl" w:hAnsi="FrankRuehl" w:cs="FrankRuehl"/>
          <w:sz w:val="28"/>
          <w:szCs w:val="28"/>
          <w:rtl/>
        </w:rPr>
        <w:t xml:space="preserve"> מספר פיזי </w:t>
      </w:r>
      <w:r w:rsidR="00DA07D2">
        <w:rPr>
          <w:rFonts w:ascii="FrankRuehl" w:hAnsi="FrankRuehl" w:cs="FrankRuehl" w:hint="cs"/>
          <w:sz w:val="28"/>
          <w:szCs w:val="28"/>
        </w:rPr>
        <w:t>XXXX</w:t>
      </w:r>
      <w:r w:rsidR="003625C1" w:rsidRPr="002F65E9">
        <w:rPr>
          <w:rFonts w:ascii="FrankRuehl" w:hAnsi="FrankRuehl" w:cs="FrankRuehl"/>
          <w:sz w:val="28"/>
          <w:szCs w:val="28"/>
          <w:rtl/>
        </w:rPr>
        <w:t xml:space="preserve"> </w:t>
      </w:r>
      <w:r w:rsidR="000674EA" w:rsidRPr="002F65E9">
        <w:rPr>
          <w:rFonts w:ascii="FrankRuehl" w:hAnsi="FrankRuehl" w:cs="FrankRuehl"/>
          <w:sz w:val="28"/>
          <w:szCs w:val="28"/>
          <w:rtl/>
        </w:rPr>
        <w:t xml:space="preserve"> – מה שאינו תואם את פרטי הדירה, עמוד</w:t>
      </w:r>
      <w:r w:rsidR="00E2399A" w:rsidRPr="002F65E9">
        <w:rPr>
          <w:rFonts w:ascii="FrankRuehl" w:hAnsi="FrankRuehl" w:cs="FrankRuehl"/>
          <w:sz w:val="28"/>
          <w:szCs w:val="28"/>
          <w:rtl/>
        </w:rPr>
        <w:t>ים</w:t>
      </w:r>
      <w:r w:rsidR="000674EA" w:rsidRPr="002F65E9">
        <w:rPr>
          <w:rFonts w:ascii="FrankRuehl" w:hAnsi="FrankRuehl" w:cs="FrankRuehl"/>
          <w:sz w:val="28"/>
          <w:szCs w:val="28"/>
          <w:rtl/>
        </w:rPr>
        <w:t xml:space="preserve"> 163 </w:t>
      </w:r>
      <w:r w:rsidR="00E2399A" w:rsidRPr="002F65E9">
        <w:rPr>
          <w:rFonts w:ascii="FrankRuehl" w:hAnsi="FrankRuehl" w:cs="FrankRuehl"/>
          <w:sz w:val="28"/>
          <w:szCs w:val="28"/>
          <w:rtl/>
        </w:rPr>
        <w:t xml:space="preserve">– 170 </w:t>
      </w:r>
      <w:r w:rsidR="000674EA" w:rsidRPr="002F65E9">
        <w:rPr>
          <w:rFonts w:ascii="FrankRuehl" w:hAnsi="FrankRuehl" w:cs="FrankRuehl"/>
          <w:sz w:val="28"/>
          <w:szCs w:val="28"/>
          <w:rtl/>
        </w:rPr>
        <w:t xml:space="preserve">לתיק המוצגים זהו מצב חשבון </w:t>
      </w:r>
      <w:r w:rsidR="00E2399A" w:rsidRPr="002F65E9">
        <w:rPr>
          <w:rFonts w:ascii="FrankRuehl" w:hAnsi="FrankRuehl" w:cs="FrankRuehl"/>
          <w:sz w:val="28"/>
          <w:szCs w:val="28"/>
          <w:rtl/>
        </w:rPr>
        <w:t>ארנונה של ה</w:t>
      </w:r>
      <w:r w:rsidR="000674EA" w:rsidRPr="002F65E9">
        <w:rPr>
          <w:rFonts w:ascii="FrankRuehl" w:hAnsi="FrankRuehl" w:cs="FrankRuehl"/>
          <w:sz w:val="28"/>
          <w:szCs w:val="28"/>
          <w:rtl/>
        </w:rPr>
        <w:t>דירה (369.99 מ"ר</w:t>
      </w:r>
      <w:r w:rsidR="003625C1" w:rsidRPr="002F65E9">
        <w:rPr>
          <w:rFonts w:ascii="FrankRuehl" w:hAnsi="FrankRuehl" w:cs="FrankRuehl"/>
          <w:sz w:val="28"/>
          <w:szCs w:val="28"/>
          <w:rtl/>
        </w:rPr>
        <w:t xml:space="preserve"> מספר פיזי </w:t>
      </w:r>
      <w:r w:rsidR="00DA07D2">
        <w:rPr>
          <w:rFonts w:ascii="FrankRuehl" w:hAnsi="FrankRuehl" w:cs="FrankRuehl" w:hint="cs"/>
          <w:sz w:val="28"/>
          <w:szCs w:val="28"/>
        </w:rPr>
        <w:t>XXXX</w:t>
      </w:r>
      <w:r w:rsidR="000674EA" w:rsidRPr="002F65E9">
        <w:rPr>
          <w:rFonts w:ascii="FrankRuehl" w:hAnsi="FrankRuehl" w:cs="FrankRuehl"/>
          <w:sz w:val="28"/>
          <w:szCs w:val="28"/>
          <w:rtl/>
        </w:rPr>
        <w:t>)</w:t>
      </w:r>
      <w:r w:rsidR="003F15CD" w:rsidRPr="002F65E9">
        <w:rPr>
          <w:rFonts w:ascii="FrankRuehl" w:hAnsi="FrankRuehl" w:cs="FrankRuehl"/>
          <w:sz w:val="28"/>
          <w:szCs w:val="28"/>
          <w:rtl/>
        </w:rPr>
        <w:t xml:space="preserve"> לשנ</w:t>
      </w:r>
      <w:r w:rsidR="00E2399A" w:rsidRPr="002F65E9">
        <w:rPr>
          <w:rFonts w:ascii="FrankRuehl" w:hAnsi="FrankRuehl" w:cs="FrankRuehl"/>
          <w:sz w:val="28"/>
          <w:szCs w:val="28"/>
          <w:rtl/>
        </w:rPr>
        <w:t xml:space="preserve">ים 2013- </w:t>
      </w:r>
      <w:r w:rsidR="003F15CD" w:rsidRPr="002F65E9">
        <w:rPr>
          <w:rFonts w:ascii="FrankRuehl" w:hAnsi="FrankRuehl" w:cs="FrankRuehl"/>
          <w:sz w:val="28"/>
          <w:szCs w:val="28"/>
          <w:rtl/>
        </w:rPr>
        <w:t>2019 אך אינו מעיד על זהות המשלם בפועל</w:t>
      </w:r>
      <w:r w:rsidR="00E2399A" w:rsidRPr="002F65E9">
        <w:rPr>
          <w:rFonts w:ascii="FrankRuehl" w:hAnsi="FrankRuehl" w:cs="FrankRuehl"/>
          <w:sz w:val="28"/>
          <w:szCs w:val="28"/>
          <w:rtl/>
        </w:rPr>
        <w:t xml:space="preserve">, מה גם שהסכומים אינם תואמים את התביעה - </w:t>
      </w:r>
      <w:r w:rsidR="003F15CD" w:rsidRPr="002F65E9">
        <w:rPr>
          <w:rFonts w:ascii="FrankRuehl" w:hAnsi="FrankRuehl" w:cs="FrankRuehl"/>
          <w:sz w:val="28"/>
          <w:szCs w:val="28"/>
          <w:rtl/>
        </w:rPr>
        <w:t>סך 2,961 ₪</w:t>
      </w:r>
      <w:r w:rsidR="00E2399A" w:rsidRPr="002F65E9">
        <w:rPr>
          <w:rFonts w:ascii="FrankRuehl" w:hAnsi="FrankRuehl" w:cs="FrankRuehl"/>
          <w:sz w:val="28"/>
          <w:szCs w:val="28"/>
          <w:rtl/>
        </w:rPr>
        <w:t xml:space="preserve"> לשנת 2019</w:t>
      </w:r>
      <w:r w:rsidR="003F15CD" w:rsidRPr="002F65E9">
        <w:rPr>
          <w:rFonts w:ascii="FrankRuehl" w:hAnsi="FrankRuehl" w:cs="FrankRuehl"/>
          <w:sz w:val="28"/>
          <w:szCs w:val="28"/>
          <w:rtl/>
        </w:rPr>
        <w:t>, סך 2,567 ₪</w:t>
      </w:r>
      <w:r w:rsidR="00D5218A">
        <w:rPr>
          <w:rFonts w:ascii="FrankRuehl" w:hAnsi="FrankRuehl" w:cs="FrankRuehl"/>
          <w:sz w:val="28"/>
          <w:szCs w:val="28"/>
          <w:rtl/>
        </w:rPr>
        <w:t xml:space="preserve"> לשנת 2018.</w:t>
      </w:r>
    </w:p>
    <w:p w:rsidR="006E1CEA" w:rsidRPr="002F65E9" w:rsidRDefault="006E1CEA" w:rsidP="006E1CEA">
      <w:pPr>
        <w:pStyle w:val="af0"/>
        <w:spacing w:line="360" w:lineRule="auto"/>
        <w:ind w:left="360"/>
        <w:jc w:val="both"/>
        <w:rPr>
          <w:rFonts w:ascii="FrankRuehl" w:hAnsi="FrankRuehl" w:cs="FrankRuehl"/>
          <w:sz w:val="28"/>
          <w:szCs w:val="28"/>
          <w:rtl/>
        </w:rPr>
      </w:pPr>
    </w:p>
    <w:p w:rsidR="003C719F" w:rsidRPr="002F65E9" w:rsidRDefault="006E1CEA" w:rsidP="00DA07D2">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מאידך הנתבעת צירפה קבלה על תשלום הנכס הרלוונטי (מספר פיזי </w:t>
      </w:r>
      <w:r w:rsidR="00DA07D2">
        <w:rPr>
          <w:rFonts w:ascii="FrankRuehl" w:hAnsi="FrankRuehl" w:cs="FrankRuehl" w:hint="cs"/>
          <w:sz w:val="28"/>
          <w:szCs w:val="28"/>
        </w:rPr>
        <w:t>XXXX</w:t>
      </w:r>
      <w:r w:rsidRPr="002F65E9">
        <w:rPr>
          <w:rFonts w:ascii="FrankRuehl" w:hAnsi="FrankRuehl" w:cs="FrankRuehl"/>
          <w:sz w:val="28"/>
          <w:szCs w:val="28"/>
          <w:rtl/>
        </w:rPr>
        <w:t>) מיום 21/10/2021 וביטול עיקול</w:t>
      </w:r>
      <w:r w:rsidR="008277DC" w:rsidRPr="002F65E9">
        <w:rPr>
          <w:rFonts w:ascii="FrankRuehl" w:hAnsi="FrankRuehl" w:cs="FrankRuehl"/>
          <w:sz w:val="28"/>
          <w:szCs w:val="28"/>
          <w:rtl/>
        </w:rPr>
        <w:t xml:space="preserve"> מעיריית </w:t>
      </w:r>
      <w:r w:rsidR="00DA07D2">
        <w:rPr>
          <w:rFonts w:ascii="FrankRuehl" w:hAnsi="FrankRuehl" w:cs="FrankRuehl" w:hint="cs"/>
          <w:sz w:val="28"/>
          <w:szCs w:val="28"/>
        </w:rPr>
        <w:t>XXX</w:t>
      </w:r>
      <w:r w:rsidRPr="002F65E9">
        <w:rPr>
          <w:rFonts w:ascii="FrankRuehl" w:hAnsi="FrankRuehl" w:cs="FrankRuehl"/>
          <w:sz w:val="28"/>
          <w:szCs w:val="28"/>
          <w:rtl/>
        </w:rPr>
        <w:t xml:space="preserve"> בהתאמה לפירעון התשלום כטענתה. מסמכים אלו סותרים את טענות התובע.</w:t>
      </w:r>
      <w:r w:rsidR="008528F0" w:rsidRPr="002F65E9">
        <w:rPr>
          <w:rFonts w:ascii="FrankRuehl" w:hAnsi="FrankRuehl" w:cs="FrankRuehl"/>
          <w:sz w:val="28"/>
          <w:szCs w:val="28"/>
          <w:rtl/>
        </w:rPr>
        <w:t xml:space="preserve"> </w:t>
      </w:r>
      <w:r w:rsidR="00D23E97" w:rsidRPr="002F65E9">
        <w:rPr>
          <w:rFonts w:ascii="FrankRuehl" w:hAnsi="FrankRuehl" w:cs="FrankRuehl"/>
          <w:sz w:val="28"/>
          <w:szCs w:val="28"/>
          <w:rtl/>
        </w:rPr>
        <w:t>עמודים 35-40 למוצגי הנתבעת.</w:t>
      </w:r>
      <w:r w:rsidR="00A46A1F">
        <w:rPr>
          <w:rFonts w:ascii="FrankRuehl" w:hAnsi="FrankRuehl" w:cs="FrankRuehl" w:hint="cs"/>
          <w:sz w:val="28"/>
          <w:szCs w:val="28"/>
          <w:rtl/>
        </w:rPr>
        <w:t xml:space="preserve"> </w:t>
      </w:r>
      <w:r w:rsidR="003C719F" w:rsidRPr="002F65E9">
        <w:rPr>
          <w:rFonts w:ascii="FrankRuehl" w:hAnsi="FrankRuehl" w:cs="FrankRuehl"/>
          <w:sz w:val="28"/>
          <w:szCs w:val="28"/>
          <w:rtl/>
        </w:rPr>
        <w:t xml:space="preserve">יתר על </w:t>
      </w:r>
      <w:r w:rsidR="008B4667" w:rsidRPr="002F65E9">
        <w:rPr>
          <w:rFonts w:ascii="FrankRuehl" w:hAnsi="FrankRuehl" w:cs="FrankRuehl"/>
          <w:sz w:val="28"/>
          <w:szCs w:val="28"/>
          <w:rtl/>
        </w:rPr>
        <w:t xml:space="preserve">כן, גם </w:t>
      </w:r>
      <w:r w:rsidR="003C719F" w:rsidRPr="002F65E9">
        <w:rPr>
          <w:rFonts w:ascii="FrankRuehl" w:hAnsi="FrankRuehl" w:cs="FrankRuehl"/>
          <w:sz w:val="28"/>
          <w:szCs w:val="28"/>
          <w:rtl/>
        </w:rPr>
        <w:t>לגרסת התובע הוא החזיק בקומה השנייה עד ליום 01/01/2021 והתובע לא ערך אבחנה בין החיוב בגין חלק זה בו הוא החזיק לבין הק</w:t>
      </w:r>
      <w:r w:rsidR="008277DC" w:rsidRPr="002F65E9">
        <w:rPr>
          <w:rFonts w:ascii="FrankRuehl" w:hAnsi="FrankRuehl" w:cs="FrankRuehl"/>
          <w:sz w:val="28"/>
          <w:szCs w:val="28"/>
          <w:rtl/>
        </w:rPr>
        <w:t>ו</w:t>
      </w:r>
      <w:r w:rsidR="003C719F" w:rsidRPr="002F65E9">
        <w:rPr>
          <w:rFonts w:ascii="FrankRuehl" w:hAnsi="FrankRuehl" w:cs="FrankRuehl"/>
          <w:sz w:val="28"/>
          <w:szCs w:val="28"/>
          <w:rtl/>
        </w:rPr>
        <w:t>מה הראשונה, בה החזיקה  הנתבעת.</w:t>
      </w:r>
      <w:r w:rsidR="00F75DAF" w:rsidRPr="002F65E9">
        <w:rPr>
          <w:rFonts w:ascii="FrankRuehl" w:hAnsi="FrankRuehl" w:cs="FrankRuehl"/>
          <w:sz w:val="28"/>
          <w:szCs w:val="28"/>
          <w:rtl/>
        </w:rPr>
        <w:t xml:space="preserve"> </w:t>
      </w:r>
    </w:p>
    <w:p w:rsidR="00F75DAF" w:rsidRPr="002F65E9" w:rsidRDefault="00F75DAF" w:rsidP="00BC0D19">
      <w:pPr>
        <w:pStyle w:val="af0"/>
        <w:spacing w:line="360" w:lineRule="auto"/>
        <w:ind w:left="360" w:firstLine="720"/>
        <w:jc w:val="both"/>
        <w:rPr>
          <w:rFonts w:ascii="FrankRuehl" w:hAnsi="FrankRuehl" w:cs="FrankRuehl"/>
          <w:sz w:val="28"/>
          <w:szCs w:val="28"/>
          <w:rtl/>
        </w:rPr>
      </w:pPr>
    </w:p>
    <w:p w:rsidR="00BC0D19" w:rsidRDefault="00BC0D19" w:rsidP="00797884">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כך </w:t>
      </w:r>
      <w:r w:rsidR="004715AB" w:rsidRPr="002F65E9">
        <w:rPr>
          <w:rFonts w:ascii="FrankRuehl" w:hAnsi="FrankRuehl" w:cs="FrankRuehl"/>
          <w:sz w:val="28"/>
          <w:szCs w:val="28"/>
          <w:rtl/>
        </w:rPr>
        <w:t xml:space="preserve">גם </w:t>
      </w:r>
      <w:r w:rsidR="00A46A1F">
        <w:rPr>
          <w:rFonts w:ascii="FrankRuehl" w:hAnsi="FrankRuehl" w:cs="FrankRuehl" w:hint="cs"/>
          <w:sz w:val="28"/>
          <w:szCs w:val="28"/>
          <w:rtl/>
        </w:rPr>
        <w:t xml:space="preserve">אשר </w:t>
      </w:r>
      <w:r w:rsidR="004715AB" w:rsidRPr="002F65E9">
        <w:rPr>
          <w:rFonts w:ascii="FrankRuehl" w:hAnsi="FrankRuehl" w:cs="FrankRuehl"/>
          <w:sz w:val="28"/>
          <w:szCs w:val="28"/>
          <w:rtl/>
        </w:rPr>
        <w:t xml:space="preserve">לרכיב התביעה </w:t>
      </w:r>
      <w:r w:rsidR="00A46A1F">
        <w:rPr>
          <w:rFonts w:ascii="FrankRuehl" w:hAnsi="FrankRuehl" w:cs="FrankRuehl" w:hint="cs"/>
          <w:sz w:val="28"/>
          <w:szCs w:val="28"/>
          <w:rtl/>
        </w:rPr>
        <w:t>ב</w:t>
      </w:r>
      <w:r w:rsidR="00797884">
        <w:rPr>
          <w:rFonts w:ascii="FrankRuehl" w:hAnsi="FrankRuehl" w:cs="FrankRuehl" w:hint="cs"/>
          <w:sz w:val="28"/>
          <w:szCs w:val="28"/>
          <w:rtl/>
        </w:rPr>
        <w:t>עניין ת</w:t>
      </w:r>
      <w:r w:rsidR="004715AB" w:rsidRPr="002F65E9">
        <w:rPr>
          <w:rFonts w:ascii="FrankRuehl" w:hAnsi="FrankRuehl" w:cs="FrankRuehl"/>
          <w:sz w:val="28"/>
          <w:szCs w:val="28"/>
          <w:rtl/>
        </w:rPr>
        <w:t>שלום</w:t>
      </w:r>
      <w:r w:rsidR="00797884">
        <w:rPr>
          <w:rFonts w:ascii="FrankRuehl" w:hAnsi="FrankRuehl" w:cs="FrankRuehl" w:hint="cs"/>
          <w:sz w:val="28"/>
          <w:szCs w:val="28"/>
          <w:rtl/>
        </w:rPr>
        <w:t xml:space="preserve"> חשבון </w:t>
      </w:r>
      <w:r w:rsidR="00797884">
        <w:rPr>
          <w:rFonts w:ascii="FrankRuehl" w:hAnsi="FrankRuehl" w:cs="FrankRuehl"/>
          <w:sz w:val="28"/>
          <w:szCs w:val="28"/>
          <w:rtl/>
        </w:rPr>
        <w:t>מים. מוצג 18, עמודים 178-179</w:t>
      </w:r>
      <w:r w:rsidR="004715AB" w:rsidRPr="002F65E9">
        <w:rPr>
          <w:rFonts w:ascii="FrankRuehl" w:hAnsi="FrankRuehl" w:cs="FrankRuehl"/>
          <w:sz w:val="28"/>
          <w:szCs w:val="28"/>
          <w:rtl/>
        </w:rPr>
        <w:t>. לא פור</w:t>
      </w:r>
      <w:r w:rsidR="007F728E" w:rsidRPr="002F65E9">
        <w:rPr>
          <w:rFonts w:ascii="FrankRuehl" w:hAnsi="FrankRuehl" w:cs="FrankRuehl"/>
          <w:sz w:val="28"/>
          <w:szCs w:val="28"/>
          <w:rtl/>
        </w:rPr>
        <w:t xml:space="preserve">ט </w:t>
      </w:r>
      <w:r w:rsidR="00797884">
        <w:rPr>
          <w:rFonts w:ascii="FrankRuehl" w:hAnsi="FrankRuehl" w:cs="FrankRuehl" w:hint="cs"/>
          <w:sz w:val="28"/>
          <w:szCs w:val="28"/>
          <w:rtl/>
        </w:rPr>
        <w:t xml:space="preserve">עבור </w:t>
      </w:r>
      <w:r w:rsidR="007F728E" w:rsidRPr="002F65E9">
        <w:rPr>
          <w:rFonts w:ascii="FrankRuehl" w:hAnsi="FrankRuehl" w:cs="FrankRuehl"/>
          <w:sz w:val="28"/>
          <w:szCs w:val="28"/>
          <w:rtl/>
        </w:rPr>
        <w:t>איזה נכס ועל ידי מי שולם</w:t>
      </w:r>
      <w:r w:rsidR="00797884">
        <w:rPr>
          <w:rFonts w:ascii="FrankRuehl" w:hAnsi="FrankRuehl" w:cs="FrankRuehl" w:hint="cs"/>
          <w:sz w:val="28"/>
          <w:szCs w:val="28"/>
          <w:rtl/>
        </w:rPr>
        <w:t xml:space="preserve"> ו</w:t>
      </w:r>
      <w:r w:rsidR="007F728E" w:rsidRPr="002F65E9">
        <w:rPr>
          <w:rFonts w:ascii="FrankRuehl" w:hAnsi="FrankRuehl" w:cs="FrankRuehl"/>
          <w:sz w:val="28"/>
          <w:szCs w:val="28"/>
          <w:rtl/>
        </w:rPr>
        <w:t>הסכומים במוצג 18</w:t>
      </w:r>
      <w:r w:rsidR="00797884">
        <w:rPr>
          <w:rFonts w:ascii="FrankRuehl" w:hAnsi="FrankRuehl" w:cs="FrankRuehl" w:hint="cs"/>
          <w:sz w:val="28"/>
          <w:szCs w:val="28"/>
          <w:rtl/>
        </w:rPr>
        <w:t xml:space="preserve"> (</w:t>
      </w:r>
      <w:r w:rsidR="007F728E" w:rsidRPr="002F65E9">
        <w:rPr>
          <w:rFonts w:ascii="FrankRuehl" w:hAnsi="FrankRuehl" w:cs="FrankRuehl"/>
          <w:sz w:val="28"/>
          <w:szCs w:val="28"/>
          <w:rtl/>
        </w:rPr>
        <w:t>סך 1,064 ₪</w:t>
      </w:r>
      <w:r w:rsidR="00797884">
        <w:rPr>
          <w:rFonts w:ascii="FrankRuehl" w:hAnsi="FrankRuehl" w:cs="FrankRuehl" w:hint="cs"/>
          <w:sz w:val="28"/>
          <w:szCs w:val="28"/>
          <w:rtl/>
        </w:rPr>
        <w:t>)</w:t>
      </w:r>
      <w:r w:rsidR="007F728E" w:rsidRPr="002F65E9">
        <w:rPr>
          <w:rFonts w:ascii="FrankRuehl" w:hAnsi="FrankRuehl" w:cs="FrankRuehl"/>
          <w:sz w:val="28"/>
          <w:szCs w:val="28"/>
          <w:rtl/>
        </w:rPr>
        <w:t xml:space="preserve"> אינו תואם הנטען בתביעה.</w:t>
      </w:r>
      <w:r w:rsidR="00A46A1F">
        <w:rPr>
          <w:rFonts w:ascii="FrankRuehl" w:hAnsi="FrankRuehl" w:cs="FrankRuehl" w:hint="cs"/>
          <w:sz w:val="28"/>
          <w:szCs w:val="28"/>
          <w:rtl/>
        </w:rPr>
        <w:t xml:space="preserve"> </w:t>
      </w:r>
    </w:p>
    <w:p w:rsidR="00A46A1F" w:rsidRPr="002F65E9" w:rsidRDefault="00A46A1F" w:rsidP="007F728E">
      <w:pPr>
        <w:pStyle w:val="af0"/>
        <w:spacing w:line="360" w:lineRule="auto"/>
        <w:ind w:left="360"/>
        <w:jc w:val="both"/>
        <w:rPr>
          <w:rFonts w:ascii="FrankRuehl" w:hAnsi="FrankRuehl" w:cs="FrankRuehl"/>
          <w:sz w:val="28"/>
          <w:szCs w:val="28"/>
          <w:rtl/>
        </w:rPr>
      </w:pPr>
    </w:p>
    <w:p w:rsidR="00E2399A" w:rsidRDefault="00E2399A" w:rsidP="00D23E97">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על כן כאמור, </w:t>
      </w:r>
      <w:r w:rsidR="00B11028" w:rsidRPr="002F65E9">
        <w:rPr>
          <w:rFonts w:ascii="FrankRuehl" w:hAnsi="FrankRuehl" w:cs="FrankRuehl"/>
          <w:sz w:val="28"/>
          <w:szCs w:val="28"/>
          <w:rtl/>
        </w:rPr>
        <w:t xml:space="preserve">התביעה בגין </w:t>
      </w:r>
      <w:r w:rsidRPr="002F65E9">
        <w:rPr>
          <w:rFonts w:ascii="FrankRuehl" w:hAnsi="FrankRuehl" w:cs="FrankRuehl"/>
          <w:sz w:val="28"/>
          <w:szCs w:val="28"/>
          <w:rtl/>
        </w:rPr>
        <w:t>רכיב</w:t>
      </w:r>
      <w:r w:rsidR="00D23E97" w:rsidRPr="002F65E9">
        <w:rPr>
          <w:rFonts w:ascii="FrankRuehl" w:hAnsi="FrankRuehl" w:cs="FrankRuehl"/>
          <w:sz w:val="28"/>
          <w:szCs w:val="28"/>
          <w:rtl/>
        </w:rPr>
        <w:t>ים אלו</w:t>
      </w:r>
      <w:r w:rsidRPr="002F65E9">
        <w:rPr>
          <w:rFonts w:ascii="FrankRuehl" w:hAnsi="FrankRuehl" w:cs="FrankRuehl"/>
          <w:sz w:val="28"/>
          <w:szCs w:val="28"/>
          <w:rtl/>
        </w:rPr>
        <w:t xml:space="preserve"> נדח</w:t>
      </w:r>
      <w:r w:rsidR="00B11028" w:rsidRPr="002F65E9">
        <w:rPr>
          <w:rFonts w:ascii="FrankRuehl" w:hAnsi="FrankRuehl" w:cs="FrankRuehl"/>
          <w:sz w:val="28"/>
          <w:szCs w:val="28"/>
          <w:rtl/>
        </w:rPr>
        <w:t>ית</w:t>
      </w:r>
      <w:r w:rsidR="00D23E97" w:rsidRPr="002F65E9">
        <w:rPr>
          <w:rFonts w:ascii="FrankRuehl" w:hAnsi="FrankRuehl" w:cs="FrankRuehl"/>
          <w:sz w:val="28"/>
          <w:szCs w:val="28"/>
          <w:rtl/>
        </w:rPr>
        <w:t xml:space="preserve"> גם לגופה</w:t>
      </w:r>
      <w:r w:rsidRPr="002F65E9">
        <w:rPr>
          <w:rFonts w:ascii="FrankRuehl" w:hAnsi="FrankRuehl" w:cs="FrankRuehl"/>
          <w:sz w:val="28"/>
          <w:szCs w:val="28"/>
          <w:rtl/>
        </w:rPr>
        <w:t>.</w:t>
      </w:r>
    </w:p>
    <w:p w:rsidR="00B11028" w:rsidRPr="002F65E9" w:rsidRDefault="00B11028" w:rsidP="00CA172E">
      <w:pPr>
        <w:pStyle w:val="af0"/>
        <w:spacing w:line="360" w:lineRule="auto"/>
        <w:ind w:left="360"/>
        <w:jc w:val="both"/>
        <w:rPr>
          <w:rFonts w:ascii="FrankRuehl" w:hAnsi="FrankRuehl" w:cs="FrankRuehl"/>
          <w:sz w:val="28"/>
          <w:szCs w:val="28"/>
          <w:rtl/>
        </w:rPr>
      </w:pPr>
      <w:r w:rsidRPr="002F65E9">
        <w:rPr>
          <w:rFonts w:ascii="FrankRuehl" w:hAnsi="FrankRuehl" w:cs="FrankRuehl"/>
          <w:b/>
          <w:bCs/>
          <w:sz w:val="28"/>
          <w:szCs w:val="28"/>
          <w:rtl/>
        </w:rPr>
        <w:t>אשר לתשלומי החשמל</w:t>
      </w:r>
      <w:r w:rsidR="00D5218A">
        <w:rPr>
          <w:rFonts w:ascii="FrankRuehl" w:hAnsi="FrankRuehl" w:cs="FrankRuehl" w:hint="cs"/>
          <w:sz w:val="28"/>
          <w:szCs w:val="28"/>
          <w:rtl/>
        </w:rPr>
        <w:t>.</w:t>
      </w:r>
      <w:r w:rsidRPr="002F65E9">
        <w:rPr>
          <w:rFonts w:ascii="FrankRuehl" w:hAnsi="FrankRuehl" w:cs="FrankRuehl"/>
          <w:sz w:val="28"/>
          <w:szCs w:val="28"/>
          <w:rtl/>
        </w:rPr>
        <w:t xml:space="preserve"> </w:t>
      </w:r>
      <w:r w:rsidR="006E685B" w:rsidRPr="002F65E9">
        <w:rPr>
          <w:rFonts w:ascii="FrankRuehl" w:hAnsi="FrankRuehl" w:cs="FrankRuehl"/>
          <w:sz w:val="28"/>
          <w:szCs w:val="28"/>
          <w:rtl/>
        </w:rPr>
        <w:t>אמנם קיימת התאמה בין מספר חוזה החשמל במועד שלפני הפרידה – מוצג 19 ובין מספר חוזה החשמל בתקופה בה התגוררה הנתבעת בדירה, אך תדפיס החשבון שה</w:t>
      </w:r>
      <w:r w:rsidR="00F75DAF" w:rsidRPr="002F65E9">
        <w:rPr>
          <w:rFonts w:ascii="FrankRuehl" w:hAnsi="FrankRuehl" w:cs="FrankRuehl"/>
          <w:sz w:val="28"/>
          <w:szCs w:val="28"/>
          <w:rtl/>
        </w:rPr>
        <w:t>ו</w:t>
      </w:r>
      <w:r w:rsidR="006E685B" w:rsidRPr="002F65E9">
        <w:rPr>
          <w:rFonts w:ascii="FrankRuehl" w:hAnsi="FrankRuehl" w:cs="FrankRuehl"/>
          <w:sz w:val="28"/>
          <w:szCs w:val="28"/>
          <w:rtl/>
        </w:rPr>
        <w:t>גש אינו מעיד על התשלום בפועל על ידי התובע</w:t>
      </w:r>
      <w:r w:rsidR="00F75DAF" w:rsidRPr="002F65E9">
        <w:rPr>
          <w:rFonts w:ascii="FrankRuehl" w:hAnsi="FrankRuehl" w:cs="FrankRuehl"/>
          <w:sz w:val="28"/>
          <w:szCs w:val="28"/>
          <w:rtl/>
        </w:rPr>
        <w:t xml:space="preserve"> דווקא</w:t>
      </w:r>
      <w:r w:rsidR="006E685B" w:rsidRPr="002F65E9">
        <w:rPr>
          <w:rFonts w:ascii="FrankRuehl" w:hAnsi="FrankRuehl" w:cs="FrankRuehl"/>
          <w:sz w:val="28"/>
          <w:szCs w:val="28"/>
          <w:rtl/>
        </w:rPr>
        <w:t>. ראו כי בתדפיס מצב חשבון שהוגש כמוצג 17, עמודים 172-176 מצוין כי</w:t>
      </w:r>
      <w:r w:rsidR="00D5218A">
        <w:rPr>
          <w:rFonts w:ascii="FrankRuehl" w:hAnsi="FrankRuehl" w:cs="FrankRuehl"/>
          <w:sz w:val="28"/>
          <w:szCs w:val="28"/>
          <w:rtl/>
        </w:rPr>
        <w:t xml:space="preserve"> נשלחו התראות לפני ניתוק בשל אי</w:t>
      </w:r>
      <w:r w:rsidR="00D5218A">
        <w:rPr>
          <w:rFonts w:ascii="FrankRuehl" w:hAnsi="FrankRuehl" w:cs="FrankRuehl" w:hint="cs"/>
          <w:sz w:val="28"/>
          <w:szCs w:val="28"/>
          <w:rtl/>
        </w:rPr>
        <w:t>-</w:t>
      </w:r>
      <w:r w:rsidR="006E685B" w:rsidRPr="002F65E9">
        <w:rPr>
          <w:rFonts w:ascii="FrankRuehl" w:hAnsi="FrankRuehl" w:cs="FrankRuehl"/>
          <w:sz w:val="28"/>
          <w:szCs w:val="28"/>
          <w:rtl/>
        </w:rPr>
        <w:t>תשלום</w:t>
      </w:r>
      <w:r w:rsidR="00F75DAF" w:rsidRPr="002F65E9">
        <w:rPr>
          <w:rFonts w:ascii="FrankRuehl" w:hAnsi="FrankRuehl" w:cs="FrankRuehl"/>
          <w:sz w:val="28"/>
          <w:szCs w:val="28"/>
          <w:rtl/>
        </w:rPr>
        <w:t>, מה שיכול לתמוך בגרסת הנתבעת</w:t>
      </w:r>
      <w:r w:rsidR="00CA172E" w:rsidRPr="002F65E9">
        <w:rPr>
          <w:rFonts w:ascii="FrankRuehl" w:hAnsi="FrankRuehl" w:cs="FrankRuehl"/>
          <w:sz w:val="28"/>
          <w:szCs w:val="28"/>
          <w:rtl/>
        </w:rPr>
        <w:t xml:space="preserve"> כי התובע לא שילם את החשבונות</w:t>
      </w:r>
      <w:r w:rsidR="00D5218A">
        <w:rPr>
          <w:rFonts w:ascii="FrankRuehl" w:hAnsi="FrankRuehl" w:cs="FrankRuehl"/>
          <w:sz w:val="28"/>
          <w:szCs w:val="28"/>
          <w:rtl/>
        </w:rPr>
        <w:t>.</w:t>
      </w:r>
    </w:p>
    <w:p w:rsidR="00F75DAF" w:rsidRPr="002F65E9" w:rsidRDefault="00F75DAF" w:rsidP="006E685B">
      <w:pPr>
        <w:pStyle w:val="af0"/>
        <w:spacing w:line="360" w:lineRule="auto"/>
        <w:ind w:left="360"/>
        <w:jc w:val="both"/>
        <w:rPr>
          <w:rFonts w:ascii="FrankRuehl" w:hAnsi="FrankRuehl" w:cs="FrankRuehl"/>
          <w:sz w:val="28"/>
          <w:szCs w:val="28"/>
          <w:rtl/>
        </w:rPr>
      </w:pPr>
    </w:p>
    <w:p w:rsidR="00923297" w:rsidRPr="002F65E9" w:rsidRDefault="00F75DAF" w:rsidP="00797884">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יתר על כן, גם לגרסת התובע הוא החזיק בקומה השנייה </w:t>
      </w:r>
      <w:r w:rsidR="00797884">
        <w:rPr>
          <w:rFonts w:ascii="FrankRuehl" w:hAnsi="FrankRuehl" w:cs="FrankRuehl" w:hint="cs"/>
          <w:sz w:val="28"/>
          <w:szCs w:val="28"/>
          <w:rtl/>
        </w:rPr>
        <w:t>ב</w:t>
      </w:r>
      <w:r w:rsidRPr="002F65E9">
        <w:rPr>
          <w:rFonts w:ascii="FrankRuehl" w:hAnsi="FrankRuehl" w:cs="FrankRuehl"/>
          <w:sz w:val="28"/>
          <w:szCs w:val="28"/>
          <w:rtl/>
        </w:rPr>
        <w:t>דירה עד ליום 01/01/2021</w:t>
      </w:r>
      <w:r w:rsidR="00797884">
        <w:rPr>
          <w:rFonts w:ascii="FrankRuehl" w:hAnsi="FrankRuehl" w:cs="FrankRuehl" w:hint="cs"/>
          <w:sz w:val="28"/>
          <w:szCs w:val="28"/>
          <w:rtl/>
        </w:rPr>
        <w:t xml:space="preserve"> אך </w:t>
      </w:r>
      <w:r w:rsidRPr="002F65E9">
        <w:rPr>
          <w:rFonts w:ascii="FrankRuehl" w:hAnsi="FrankRuehl" w:cs="FrankRuehl"/>
          <w:sz w:val="28"/>
          <w:szCs w:val="28"/>
          <w:rtl/>
        </w:rPr>
        <w:t xml:space="preserve">התובע לא </w:t>
      </w:r>
      <w:r w:rsidR="00797884">
        <w:rPr>
          <w:rFonts w:ascii="FrankRuehl" w:hAnsi="FrankRuehl" w:cs="FrankRuehl" w:hint="cs"/>
          <w:sz w:val="28"/>
          <w:szCs w:val="28"/>
          <w:rtl/>
        </w:rPr>
        <w:t xml:space="preserve">אבחן </w:t>
      </w:r>
      <w:r w:rsidRPr="002F65E9">
        <w:rPr>
          <w:rFonts w:ascii="FrankRuehl" w:hAnsi="FrankRuehl" w:cs="FrankRuehl"/>
          <w:sz w:val="28"/>
          <w:szCs w:val="28"/>
          <w:rtl/>
        </w:rPr>
        <w:t xml:space="preserve">בין החיוב בגין </w:t>
      </w:r>
      <w:r w:rsidR="00923297" w:rsidRPr="002F65E9">
        <w:rPr>
          <w:rFonts w:ascii="FrankRuehl" w:hAnsi="FrankRuehl" w:cs="FrankRuehl"/>
          <w:sz w:val="28"/>
          <w:szCs w:val="28"/>
          <w:rtl/>
        </w:rPr>
        <w:t>שימוש בחשמל על ידו ובין שימוש בחשמל על ידי הנתבעת.</w:t>
      </w:r>
    </w:p>
    <w:p w:rsidR="00327E32" w:rsidRPr="002F65E9" w:rsidRDefault="000674EA" w:rsidP="00E2399A">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 </w:t>
      </w:r>
      <w:r w:rsidR="006A2FDF" w:rsidRPr="002F65E9">
        <w:rPr>
          <w:rFonts w:ascii="FrankRuehl" w:hAnsi="FrankRuehl" w:cs="FrankRuehl"/>
          <w:sz w:val="28"/>
          <w:szCs w:val="28"/>
          <w:rtl/>
        </w:rPr>
        <w:t xml:space="preserve"> </w:t>
      </w:r>
    </w:p>
    <w:p w:rsidR="00D23E97" w:rsidRPr="002F65E9" w:rsidRDefault="00D23E97" w:rsidP="00D23E97">
      <w:pPr>
        <w:pStyle w:val="af0"/>
        <w:spacing w:line="360" w:lineRule="auto"/>
        <w:ind w:left="360"/>
        <w:jc w:val="both"/>
        <w:rPr>
          <w:rFonts w:ascii="FrankRuehl" w:hAnsi="FrankRuehl" w:cs="FrankRuehl"/>
          <w:sz w:val="28"/>
          <w:szCs w:val="28"/>
          <w:rtl/>
        </w:rPr>
      </w:pPr>
      <w:r w:rsidRPr="002F65E9">
        <w:rPr>
          <w:rFonts w:ascii="FrankRuehl" w:hAnsi="FrankRuehl" w:cs="FrankRuehl"/>
          <w:sz w:val="28"/>
          <w:szCs w:val="28"/>
          <w:rtl/>
        </w:rPr>
        <w:t xml:space="preserve">על כן כאמור, התביעה </w:t>
      </w:r>
      <w:r w:rsidR="00797884">
        <w:rPr>
          <w:rFonts w:ascii="FrankRuehl" w:hAnsi="FrankRuehl" w:cs="FrankRuehl" w:hint="cs"/>
          <w:sz w:val="28"/>
          <w:szCs w:val="28"/>
          <w:rtl/>
        </w:rPr>
        <w:t xml:space="preserve">גם </w:t>
      </w:r>
      <w:r w:rsidRPr="002F65E9">
        <w:rPr>
          <w:rFonts w:ascii="FrankRuehl" w:hAnsi="FrankRuehl" w:cs="FrankRuehl"/>
          <w:sz w:val="28"/>
          <w:szCs w:val="28"/>
          <w:rtl/>
        </w:rPr>
        <w:t>בגין רכיב זה נדחית גם לגופה.</w:t>
      </w:r>
    </w:p>
    <w:p w:rsidR="00D23E97" w:rsidRPr="002F65E9" w:rsidRDefault="00D23E97" w:rsidP="00E2399A">
      <w:pPr>
        <w:pStyle w:val="af0"/>
        <w:spacing w:line="360" w:lineRule="auto"/>
        <w:ind w:left="360"/>
        <w:jc w:val="both"/>
        <w:rPr>
          <w:rFonts w:ascii="FrankRuehl" w:hAnsi="FrankRuehl" w:cs="FrankRuehl"/>
          <w:sz w:val="28"/>
          <w:szCs w:val="28"/>
        </w:rPr>
      </w:pPr>
    </w:p>
    <w:p w:rsidR="00383298" w:rsidRPr="002F65E9" w:rsidRDefault="00024933" w:rsidP="00984142">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 xml:space="preserve">רכיבי התביעה בעניין התמורה שהתקבלה מהג'יפ שהיה משותף לצדדים ותכשיטי הזהב, נדחית בשל מעשה בי-דין והשתק משסוגיה זו הוכרעה בפסה"ד </w:t>
      </w:r>
      <w:r w:rsidR="009C63BE" w:rsidRPr="002F65E9">
        <w:rPr>
          <w:rFonts w:ascii="FrankRuehl" w:hAnsi="FrankRuehl" w:cs="FrankRuehl"/>
          <w:sz w:val="28"/>
          <w:szCs w:val="28"/>
          <w:rtl/>
        </w:rPr>
        <w:t>מיום 13/11/2022 בהליך</w:t>
      </w:r>
      <w:r w:rsidR="00D5218A">
        <w:rPr>
          <w:rFonts w:ascii="FrankRuehl" w:hAnsi="FrankRuehl" w:cs="FrankRuehl" w:hint="cs"/>
          <w:sz w:val="28"/>
          <w:szCs w:val="28"/>
          <w:rtl/>
        </w:rPr>
        <w:t xml:space="preserve"> מספר</w:t>
      </w:r>
      <w:r w:rsidR="009C63BE" w:rsidRPr="002F65E9">
        <w:rPr>
          <w:rFonts w:ascii="FrankRuehl" w:hAnsi="FrankRuehl" w:cs="FrankRuehl"/>
          <w:sz w:val="28"/>
          <w:szCs w:val="28"/>
          <w:rtl/>
        </w:rPr>
        <w:t xml:space="preserve"> 41667-09-20, </w:t>
      </w:r>
      <w:r w:rsidRPr="002F65E9">
        <w:rPr>
          <w:rFonts w:ascii="FrankRuehl" w:hAnsi="FrankRuehl" w:cs="FrankRuehl"/>
          <w:sz w:val="28"/>
          <w:szCs w:val="28"/>
          <w:rtl/>
        </w:rPr>
        <w:t xml:space="preserve">שם נדון איזון המשאבים. </w:t>
      </w:r>
      <w:r w:rsidR="009C63BE" w:rsidRPr="002F65E9">
        <w:rPr>
          <w:rFonts w:ascii="FrankRuehl" w:hAnsi="FrankRuehl" w:cs="FrankRuehl"/>
          <w:sz w:val="28"/>
          <w:szCs w:val="28"/>
          <w:rtl/>
        </w:rPr>
        <w:t xml:space="preserve">ראו עמוד 3 שורות 18-24 לפירוט טענות התובע שהובא בפסה"ד </w:t>
      </w:r>
      <w:r w:rsidR="00FD0433" w:rsidRPr="002F65E9">
        <w:rPr>
          <w:rFonts w:ascii="FrankRuehl" w:hAnsi="FrankRuehl" w:cs="FrankRuehl"/>
          <w:sz w:val="28"/>
          <w:szCs w:val="28"/>
          <w:rtl/>
        </w:rPr>
        <w:t>שם, וגם סעיף 46 לפסה"ד שם נפסק "</w:t>
      </w:r>
      <w:r w:rsidR="00FD0433" w:rsidRPr="00FF7A83">
        <w:rPr>
          <w:rFonts w:ascii="FrankRuehl" w:hAnsi="FrankRuehl" w:cs="Miriam"/>
          <w:sz w:val="26"/>
          <w:szCs w:val="22"/>
          <w:rtl/>
        </w:rPr>
        <w:t xml:space="preserve">טענת הנתבע בנוגע </w:t>
      </w:r>
      <w:r w:rsidR="00984142" w:rsidRPr="00FF7A83">
        <w:rPr>
          <w:rFonts w:ascii="FrankRuehl" w:hAnsi="FrankRuehl" w:cs="Miriam"/>
          <w:sz w:val="26"/>
          <w:szCs w:val="22"/>
          <w:rtl/>
        </w:rPr>
        <w:t xml:space="preserve">לכלי </w:t>
      </w:r>
      <w:r w:rsidR="00FD0433" w:rsidRPr="00FF7A83">
        <w:rPr>
          <w:rFonts w:ascii="FrankRuehl" w:hAnsi="FrankRuehl" w:cs="Miriam"/>
          <w:sz w:val="26"/>
          <w:szCs w:val="22"/>
          <w:rtl/>
        </w:rPr>
        <w:t>הרכב ולתכשיטים, לא הוכחו עובדתית, מה גם שספק בעיני אם יש מקום לקזז שווי תכשיטים שהם בגדר מתנה שניתנת לבן זוג</w:t>
      </w:r>
      <w:r w:rsidR="00FD0433" w:rsidRPr="002F65E9">
        <w:rPr>
          <w:rFonts w:ascii="FrankRuehl" w:hAnsi="FrankRuehl" w:cs="FrankRuehl"/>
          <w:sz w:val="28"/>
          <w:szCs w:val="28"/>
          <w:rtl/>
        </w:rPr>
        <w:t xml:space="preserve">". </w:t>
      </w:r>
      <w:r w:rsidR="00D65FD4" w:rsidRPr="002F65E9">
        <w:rPr>
          <w:rFonts w:ascii="FrankRuehl" w:hAnsi="FrankRuehl" w:cs="FrankRuehl"/>
          <w:sz w:val="28"/>
          <w:szCs w:val="28"/>
          <w:rtl/>
        </w:rPr>
        <w:t>עוד ראו סעיפים 12-13 לפסה"ד שנתן תוקף לחוות דעת המומחה בעניין איזון המשאבים לאחר שהצדדים לא חלקו על מסקנותיו.</w:t>
      </w:r>
    </w:p>
    <w:p w:rsidR="00D23E97" w:rsidRPr="002F65E9" w:rsidRDefault="00D23E97" w:rsidP="00D23E97">
      <w:pPr>
        <w:pStyle w:val="af0"/>
        <w:spacing w:line="360" w:lineRule="auto"/>
        <w:ind w:left="360"/>
        <w:jc w:val="both"/>
        <w:rPr>
          <w:rFonts w:ascii="FrankRuehl" w:hAnsi="FrankRuehl" w:cs="FrankRuehl"/>
          <w:sz w:val="28"/>
          <w:szCs w:val="28"/>
        </w:rPr>
      </w:pPr>
    </w:p>
    <w:p w:rsidR="00D23E97" w:rsidRDefault="00D23E97" w:rsidP="00FD0433">
      <w:pPr>
        <w:pStyle w:val="af0"/>
        <w:numPr>
          <w:ilvl w:val="0"/>
          <w:numId w:val="1"/>
        </w:numPr>
        <w:spacing w:line="360" w:lineRule="auto"/>
        <w:jc w:val="both"/>
        <w:rPr>
          <w:rFonts w:ascii="FrankRuehl" w:hAnsi="FrankRuehl" w:cs="FrankRuehl"/>
          <w:sz w:val="28"/>
          <w:szCs w:val="28"/>
        </w:rPr>
      </w:pPr>
      <w:r w:rsidRPr="002F65E9">
        <w:rPr>
          <w:rFonts w:ascii="FrankRuehl" w:hAnsi="FrankRuehl" w:cs="FrankRuehl"/>
          <w:sz w:val="28"/>
          <w:szCs w:val="28"/>
          <w:rtl/>
        </w:rPr>
        <w:t>נפסק – התביעה נדחית על כל רכיביה.</w:t>
      </w:r>
    </w:p>
    <w:p w:rsidR="00D23E97" w:rsidRPr="002F65E9" w:rsidRDefault="00D23E97" w:rsidP="000D10DF">
      <w:pPr>
        <w:pStyle w:val="af0"/>
        <w:spacing w:line="360" w:lineRule="auto"/>
        <w:ind w:left="360"/>
        <w:jc w:val="both"/>
        <w:rPr>
          <w:rFonts w:ascii="FrankRuehl" w:hAnsi="FrankRuehl" w:cs="FrankRuehl"/>
          <w:sz w:val="28"/>
          <w:szCs w:val="28"/>
        </w:rPr>
      </w:pPr>
      <w:r w:rsidRPr="002F65E9">
        <w:rPr>
          <w:rFonts w:ascii="FrankRuehl" w:hAnsi="FrankRuehl" w:cs="FrankRuehl"/>
          <w:sz w:val="28"/>
          <w:szCs w:val="28"/>
          <w:rtl/>
        </w:rPr>
        <w:t xml:space="preserve">התובע ישלם לנתבעת הוצאות ההליך </w:t>
      </w:r>
      <w:r w:rsidR="00F56F1C" w:rsidRPr="002F65E9">
        <w:rPr>
          <w:rFonts w:ascii="FrankRuehl" w:hAnsi="FrankRuehl" w:cs="FrankRuehl"/>
          <w:sz w:val="28"/>
          <w:szCs w:val="28"/>
          <w:rtl/>
        </w:rPr>
        <w:t xml:space="preserve">סך </w:t>
      </w:r>
      <w:r w:rsidR="000D10DF" w:rsidRPr="002F65E9">
        <w:rPr>
          <w:rFonts w:ascii="FrankRuehl" w:hAnsi="FrankRuehl" w:cs="FrankRuehl"/>
          <w:sz w:val="28"/>
          <w:szCs w:val="28"/>
          <w:rtl/>
        </w:rPr>
        <w:t>3</w:t>
      </w:r>
      <w:r w:rsidR="00F56F1C" w:rsidRPr="002F65E9">
        <w:rPr>
          <w:rFonts w:ascii="FrankRuehl" w:hAnsi="FrankRuehl" w:cs="FrankRuehl"/>
          <w:sz w:val="28"/>
          <w:szCs w:val="28"/>
          <w:rtl/>
        </w:rPr>
        <w:t>,500 ₪ ושכר ט</w:t>
      </w:r>
      <w:r w:rsidR="00FF7A83">
        <w:rPr>
          <w:rFonts w:ascii="FrankRuehl" w:hAnsi="FrankRuehl" w:cs="FrankRuehl" w:hint="cs"/>
          <w:sz w:val="28"/>
          <w:szCs w:val="28"/>
          <w:rtl/>
        </w:rPr>
        <w:t>ִ</w:t>
      </w:r>
      <w:r w:rsidR="00F56F1C" w:rsidRPr="002F65E9">
        <w:rPr>
          <w:rFonts w:ascii="FrankRuehl" w:hAnsi="FrankRuehl" w:cs="FrankRuehl"/>
          <w:sz w:val="28"/>
          <w:szCs w:val="28"/>
          <w:rtl/>
        </w:rPr>
        <w:t xml:space="preserve">רחת </w:t>
      </w:r>
      <w:r w:rsidR="00FF7A83">
        <w:rPr>
          <w:rFonts w:ascii="FrankRuehl" w:hAnsi="FrankRuehl" w:cs="FrankRuehl" w:hint="cs"/>
          <w:sz w:val="28"/>
          <w:szCs w:val="28"/>
          <w:rtl/>
        </w:rPr>
        <w:t>עורך דין</w:t>
      </w:r>
      <w:r w:rsidR="00390ED0" w:rsidRPr="002F65E9">
        <w:rPr>
          <w:rFonts w:ascii="FrankRuehl" w:hAnsi="FrankRuehl" w:cs="FrankRuehl"/>
          <w:sz w:val="28"/>
          <w:szCs w:val="28"/>
          <w:rtl/>
        </w:rPr>
        <w:t xml:space="preserve"> סך </w:t>
      </w:r>
      <w:r w:rsidR="00CA172E" w:rsidRPr="002F65E9">
        <w:rPr>
          <w:rFonts w:ascii="FrankRuehl" w:hAnsi="FrankRuehl" w:cs="FrankRuehl"/>
          <w:sz w:val="28"/>
          <w:szCs w:val="28"/>
          <w:rtl/>
        </w:rPr>
        <w:t>22</w:t>
      </w:r>
      <w:r w:rsidR="00390ED0" w:rsidRPr="002F65E9">
        <w:rPr>
          <w:rFonts w:ascii="FrankRuehl" w:hAnsi="FrankRuehl" w:cs="FrankRuehl"/>
          <w:sz w:val="28"/>
          <w:szCs w:val="28"/>
          <w:rtl/>
        </w:rPr>
        <w:t>,550 ₪.</w:t>
      </w:r>
    </w:p>
    <w:p w:rsidR="00B0028F" w:rsidRPr="003E65D6" w:rsidRDefault="00B0028F" w:rsidP="00B0028F">
      <w:pPr>
        <w:spacing w:line="360" w:lineRule="auto"/>
        <w:jc w:val="both"/>
        <w:rPr>
          <w:rFonts w:ascii="FrankRuehl" w:hAnsi="FrankRuehl" w:cs="FrankRuehl"/>
          <w:sz w:val="26"/>
          <w:szCs w:val="26"/>
          <w:rtl/>
        </w:rPr>
      </w:pPr>
    </w:p>
    <w:p w:rsidR="00390ED0" w:rsidRPr="002F65E9" w:rsidRDefault="00390ED0" w:rsidP="00B0028F">
      <w:pPr>
        <w:spacing w:line="360" w:lineRule="auto"/>
        <w:jc w:val="both"/>
        <w:rPr>
          <w:rFonts w:ascii="FrankRuehl" w:hAnsi="FrankRuehl" w:cs="FrankRuehl"/>
          <w:b/>
          <w:bCs/>
          <w:sz w:val="28"/>
          <w:szCs w:val="28"/>
          <w:u w:val="single"/>
          <w:rtl/>
        </w:rPr>
      </w:pPr>
      <w:r w:rsidRPr="002F65E9">
        <w:rPr>
          <w:rFonts w:ascii="FrankRuehl" w:hAnsi="FrankRuehl" w:cs="FrankRuehl"/>
          <w:b/>
          <w:bCs/>
          <w:sz w:val="28"/>
          <w:szCs w:val="28"/>
          <w:u w:val="single"/>
          <w:rtl/>
        </w:rPr>
        <w:t>מותר לפירסום בהשמטת פרטים מזהים, תיקוני הגהה ועריכה</w:t>
      </w:r>
      <w:r w:rsidRPr="00FF7A83">
        <w:rPr>
          <w:rFonts w:ascii="FrankRuehl" w:hAnsi="FrankRuehl" w:cs="FrankRuehl"/>
          <w:b/>
          <w:bCs/>
          <w:i/>
          <w:iCs/>
          <w:sz w:val="28"/>
          <w:szCs w:val="28"/>
          <w:u w:val="single"/>
          <w:rtl/>
        </w:rPr>
        <w:t>.</w:t>
      </w:r>
    </w:p>
    <w:p w:rsidR="00390ED0" w:rsidRPr="002F65E9" w:rsidRDefault="00390ED0" w:rsidP="00B0028F">
      <w:pPr>
        <w:spacing w:line="360" w:lineRule="auto"/>
        <w:jc w:val="both"/>
        <w:rPr>
          <w:rFonts w:ascii="FrankRuehl" w:hAnsi="FrankRuehl" w:cs="FrankRuehl"/>
          <w:b/>
          <w:bCs/>
          <w:sz w:val="28"/>
          <w:szCs w:val="28"/>
          <w:u w:val="single"/>
          <w:rtl/>
        </w:rPr>
      </w:pPr>
      <w:r w:rsidRPr="002F65E9">
        <w:rPr>
          <w:rFonts w:ascii="FrankRuehl" w:hAnsi="FrankRuehl" w:cs="FrankRuehl"/>
          <w:b/>
          <w:bCs/>
          <w:sz w:val="28"/>
          <w:szCs w:val="28"/>
          <w:u w:val="single"/>
          <w:rtl/>
        </w:rPr>
        <w:t>המזכירות תמציא לצדדים ותסגור ההליך</w:t>
      </w:r>
      <w:r w:rsidRPr="00FF7A83">
        <w:rPr>
          <w:rFonts w:ascii="FrankRuehl" w:hAnsi="FrankRuehl" w:cs="FrankRuehl"/>
          <w:b/>
          <w:bCs/>
          <w:sz w:val="28"/>
          <w:szCs w:val="28"/>
          <w:rtl/>
        </w:rPr>
        <w:t>.</w:t>
      </w:r>
    </w:p>
    <w:p w:rsidR="005B0F49" w:rsidRPr="002F65E9" w:rsidRDefault="003E65D6" w:rsidP="003E65D6">
      <w:pPr>
        <w:spacing w:line="360" w:lineRule="auto"/>
        <w:jc w:val="both"/>
        <w:rPr>
          <w:rFonts w:ascii="FrankRuehl" w:hAnsi="FrankRuehl" w:cs="FrankRuehl"/>
          <w:sz w:val="28"/>
          <w:szCs w:val="28"/>
          <w:rtl/>
        </w:rPr>
      </w:pPr>
      <w:r>
        <w:rPr>
          <w:noProof/>
        </w:rPr>
        <w:drawing>
          <wp:anchor distT="0" distB="0" distL="114300" distR="114300" simplePos="0" relativeHeight="251658240" behindDoc="1" locked="0" layoutInCell="1" allowOverlap="1">
            <wp:simplePos x="0" y="0"/>
            <wp:positionH relativeFrom="column">
              <wp:posOffset>599263</wp:posOffset>
            </wp:positionH>
            <wp:positionV relativeFrom="paragraph">
              <wp:posOffset>195447</wp:posOffset>
            </wp:positionV>
            <wp:extent cx="1619250" cy="723900"/>
            <wp:effectExtent l="0" t="0" r="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5C8B" w:rsidRPr="002F65E9">
        <w:rPr>
          <w:rFonts w:ascii="FrankRuehl" w:hAnsi="FrankRuehl" w:cs="FrankRuehl"/>
          <w:sz w:val="28"/>
          <w:szCs w:val="28"/>
          <w:rtl/>
        </w:rPr>
        <w:t>ניתן היום,  ט"ז אב תשפ"ד, 20 אוגוסט 2024, בהעדר הצדדים.</w:t>
      </w:r>
    </w:p>
    <w:sectPr w:rsidR="005B0F49" w:rsidRPr="002F65E9" w:rsidSect="00797884">
      <w:headerReference w:type="default" r:id="rId12"/>
      <w:footerReference w:type="default" r:id="rId13"/>
      <w:pgSz w:w="11907" w:h="16840" w:code="9"/>
      <w:pgMar w:top="720" w:right="1701" w:bottom="1418"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213713">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213713">
      <w:rPr>
        <w:rStyle w:val="ae"/>
        <w:noProof/>
        <w:rtl/>
      </w:rPr>
      <w:t>1</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sz w:val="28"/>
        <w:szCs w:val="28"/>
        <w:rtl/>
      </w:rPr>
    </w:pPr>
    <w:r>
      <w:rPr>
        <w:rFonts w:cs="FrankRuehl"/>
        <w:noProof/>
        <w:sz w:val="28"/>
        <w:szCs w:val="28"/>
      </w:rPr>
      <w:drawing>
        <wp:inline distT="0" distB="0" distL="0" distR="0" wp14:anchorId="1F9F84A5" wp14:editId="45B07E1D">
          <wp:extent cx="371475" cy="466725"/>
          <wp:effectExtent l="0" t="0" r="9525" b="9525"/>
          <wp:docPr id="1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2F65E9">
      <w:trPr>
        <w:trHeight w:hRule="exact" w:val="670"/>
        <w:jc w:val="center"/>
      </w:trPr>
      <w:sdt>
        <w:sdtPr>
          <w:rPr>
            <w:rtl/>
          </w:rPr>
          <w:alias w:val="1174"/>
          <w:tag w:val="1174"/>
          <w:id w:val="-1775709220"/>
          <w:text/>
        </w:sdtPr>
        <w:sdtEndPr/>
        <w:sdtContent>
          <w:tc>
            <w:tcPr>
              <w:tcW w:w="8505" w:type="dxa"/>
            </w:tcPr>
            <w:p w:rsidR="00694556" w:rsidRDefault="00005C8B">
              <w:pPr>
                <w:pStyle w:val="a5"/>
                <w:jc w:val="center"/>
                <w:rPr>
                  <w:rFonts w:ascii="Tahoma" w:hAnsi="Tahoma" w:cs="Tahoma"/>
                  <w:color w:val="000080"/>
                  <w:rtl/>
                </w:rPr>
              </w:pPr>
              <w:r>
                <w:rPr>
                  <w:rFonts w:ascii="Tahoma" w:hAnsi="Tahoma" w:cs="Tahoma"/>
                  <w:b/>
                  <w:bCs/>
                  <w:color w:val="000080"/>
                  <w:rtl/>
                </w:rPr>
                <w:t>בית משפט לענייני משפחה בחיפה</w:t>
              </w:r>
            </w:p>
          </w:tc>
        </w:sdtContent>
      </w:sdt>
    </w:tr>
    <w:tr w:rsidR="00694556" w:rsidTr="002F65E9">
      <w:trPr>
        <w:trHeight w:val="337"/>
        <w:jc w:val="center"/>
      </w:trPr>
      <w:tc>
        <w:tcPr>
          <w:tcW w:w="8505" w:type="dxa"/>
        </w:tcPr>
        <w:p w:rsidR="00957C90" w:rsidRPr="003E65D6" w:rsidRDefault="00D51054" w:rsidP="00DA07D2">
          <w:pPr>
            <w:rPr>
              <w:rFonts w:ascii="FrankRuehl" w:hAnsi="FrankRuehl" w:cs="FrankRuehl"/>
              <w:b/>
              <w:bCs/>
              <w:sz w:val="28"/>
              <w:szCs w:val="28"/>
              <w:rtl/>
            </w:rPr>
          </w:pPr>
          <w:sdt>
            <w:sdtPr>
              <w:rPr>
                <w:rFonts w:ascii="FrankRuehl" w:hAnsi="FrankRuehl" w:cs="FrankRuehl"/>
                <w:b/>
                <w:bCs/>
                <w:sz w:val="28"/>
                <w:szCs w:val="28"/>
                <w:rtl/>
              </w:rPr>
              <w:alias w:val="1170"/>
              <w:tag w:val="1170"/>
              <w:id w:val="299038016"/>
              <w:text w:multiLine="1"/>
            </w:sdtPr>
            <w:sdtEndPr/>
            <w:sdtContent>
              <w:r w:rsidR="00FB3C14" w:rsidRPr="003E65D6">
                <w:rPr>
                  <w:rFonts w:ascii="FrankRuehl" w:hAnsi="FrankRuehl" w:cs="FrankRuehl"/>
                  <w:b/>
                  <w:bCs/>
                  <w:sz w:val="28"/>
                  <w:szCs w:val="28"/>
                  <w:rtl/>
                </w:rPr>
                <w:t>תלה"מ</w:t>
              </w:r>
            </w:sdtContent>
          </w:sdt>
          <w:r w:rsidR="00005C8B" w:rsidRPr="003E65D6">
            <w:rPr>
              <w:rFonts w:ascii="FrankRuehl" w:hAnsi="FrankRuehl" w:cs="FrankRuehl"/>
              <w:b/>
              <w:bCs/>
              <w:sz w:val="28"/>
              <w:szCs w:val="28"/>
              <w:rtl/>
            </w:rPr>
            <w:t xml:space="preserve"> </w:t>
          </w:r>
          <w:sdt>
            <w:sdtPr>
              <w:rPr>
                <w:rFonts w:ascii="FrankRuehl" w:hAnsi="FrankRuehl" w:cs="FrankRuehl"/>
                <w:b/>
                <w:bCs/>
                <w:sz w:val="28"/>
                <w:szCs w:val="28"/>
                <w:rtl/>
              </w:rPr>
              <w:alias w:val="1171"/>
              <w:tag w:val="1171"/>
              <w:id w:val="81650337"/>
              <w:text w:multiLine="1"/>
            </w:sdtPr>
            <w:sdtEndPr/>
            <w:sdtContent>
              <w:r w:rsidR="00FB3C14" w:rsidRPr="003E65D6">
                <w:rPr>
                  <w:rFonts w:ascii="FrankRuehl" w:hAnsi="FrankRuehl" w:cs="FrankRuehl"/>
                  <w:b/>
                  <w:bCs/>
                  <w:sz w:val="28"/>
                  <w:szCs w:val="28"/>
                  <w:rtl/>
                </w:rPr>
                <w:t>53964-06-23</w:t>
              </w:r>
            </w:sdtContent>
          </w:sdt>
          <w:r w:rsidR="00005C8B" w:rsidRPr="003E65D6">
            <w:rPr>
              <w:rFonts w:ascii="FrankRuehl" w:hAnsi="FrankRuehl" w:cs="FrankRuehl"/>
              <w:b/>
              <w:bCs/>
              <w:sz w:val="28"/>
              <w:szCs w:val="28"/>
              <w:rtl/>
            </w:rPr>
            <w:t xml:space="preserve"> </w:t>
          </w:r>
          <w:sdt>
            <w:sdtPr>
              <w:rPr>
                <w:rFonts w:ascii="FrankRuehl" w:hAnsi="FrankRuehl" w:cs="FrankRuehl"/>
                <w:b/>
                <w:bCs/>
                <w:sz w:val="28"/>
                <w:szCs w:val="28"/>
                <w:rtl/>
              </w:rPr>
              <w:alias w:val="1172"/>
              <w:tag w:val="1172"/>
              <w:id w:val="-1742169342"/>
              <w:text w:multiLine="1"/>
            </w:sdtPr>
            <w:sdtEndPr/>
            <w:sdtContent>
              <w:r w:rsidR="00FB3C14" w:rsidRPr="003E65D6">
                <w:rPr>
                  <w:rFonts w:ascii="FrankRuehl" w:hAnsi="FrankRuehl" w:cs="FrankRuehl"/>
                  <w:b/>
                  <w:bCs/>
                  <w:sz w:val="28"/>
                  <w:szCs w:val="28"/>
                  <w:rtl/>
                </w:rPr>
                <w:t>ג</w:t>
              </w:r>
              <w:r w:rsidR="00DA07D2">
                <w:rPr>
                  <w:rFonts w:ascii="FrankRuehl" w:hAnsi="FrankRuehl" w:cs="FrankRuehl" w:hint="cs"/>
                  <w:b/>
                  <w:bCs/>
                  <w:sz w:val="28"/>
                  <w:szCs w:val="28"/>
                  <w:rtl/>
                </w:rPr>
                <w:t>'</w:t>
              </w:r>
              <w:r w:rsidR="00FB3C14" w:rsidRPr="003E65D6">
                <w:rPr>
                  <w:rFonts w:ascii="FrankRuehl" w:hAnsi="FrankRuehl" w:cs="FrankRuehl"/>
                  <w:b/>
                  <w:bCs/>
                  <w:sz w:val="28"/>
                  <w:szCs w:val="28"/>
                  <w:rtl/>
                </w:rPr>
                <w:t xml:space="preserve"> נ' ג</w:t>
              </w:r>
              <w:r w:rsidR="00DA07D2">
                <w:rPr>
                  <w:rFonts w:ascii="FrankRuehl" w:hAnsi="FrankRuehl" w:cs="FrankRuehl" w:hint="cs"/>
                  <w:b/>
                  <w:bCs/>
                  <w:sz w:val="28"/>
                  <w:szCs w:val="28"/>
                  <w:rtl/>
                </w:rPr>
                <w:t>'</w:t>
              </w:r>
            </w:sdtContent>
          </w:sdt>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720377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C6805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CCAF5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E2AA3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0D85B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E0DE0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FE0E1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145B1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A2CA5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F24D18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7D102BF"/>
    <w:multiLevelType w:val="hybridMultilevel"/>
    <w:tmpl w:val="21C63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67055"/>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367055&amp;lt;/CaseID&amp;gt;_x000d__x000a_        &amp;lt;DocumentID&amp;gt;453963511&amp;lt;/DocumentID&amp;gt;_x000d__x000a_      &amp;lt;/dt_DocumentCase&amp;gt;_x000d__x000a_      &amp;lt;dt_Document diffgr:id=&amp;quot;dt_Document1&amp;quot; msdata:rowOrder=&amp;quot;0&amp;quot; diffgr:hasChanges=&amp;quot;modified&amp;quot;&amp;gt;_x000d__x000a_        &amp;lt;DocumentID&amp;gt;453963511&amp;lt;/DocumentID&amp;gt;_x000d__x000a_        &amp;lt;DocumentMainID&amp;gt;0&amp;lt;/DocumentMainID&amp;gt;_x000d__x000a_        &amp;lt;CaseID&amp;gt;80367055&amp;lt;/CaseID&amp;gt;_x000d__x000a_        &amp;lt;DocumentIncludedDate&amp;gt;2024-09-02T11:12:24.14+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02T11:12:24.14+03:00&amp;lt;/DocumentSavingDate&amp;gt;_x000d__x000a_        &amp;lt;DocumentChangeDate&amp;gt;2024-09-02T11:13:12.607+03:00&amp;lt;/DocumentChangeDate&amp;gt;_x000d__x000a_        &amp;lt;IsScanned&amp;gt;false&amp;lt;/IsScanned&amp;gt;_x000d__x000a_        &amp;lt;PageQuantity&amp;gt;0&amp;lt;/PageQuantity&amp;gt;_x000d__x000a_        &amp;lt;DocumentStatusID&amp;gt;2&amp;lt;/DocumentStatusID&amp;gt;_x000d__x000a_        &amp;lt;DocumentStatusChangeDate&amp;gt;2024-09-02T11:12:24.327+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53167126&amp;lt;/OriginalDocumentID&amp;gt;_x000d__x000a_        &amp;lt;PrivillegeID&amp;gt;2&amp;lt;/PrivillegeID&amp;gt;_x000d__x000a_        &amp;lt;FromPage&amp;gt;0&amp;lt;/FromPage&amp;gt;_x000d__x000a_        &amp;lt;ToPage&amp;gt;0&amp;lt;/ToPage&amp;gt;_x000d__x000a_        &amp;lt;FileID&amp;gt;c9cecab191010000090037f6ab119a64&amp;lt;/FileID&amp;gt;_x000d__x000a_        &amp;lt;CaseDisplayNumber&amp;gt;53964-06-23&amp;lt;/CaseDisplayNumber&amp;gt;_x000d__x000a_        &amp;lt;URL&amp;gt;\\CTLNFSV02\doc_repository\575\238\c9cecab191010000090037f6ab119a64.docx&amp;lt;/URL&amp;gt;_x000d__x000a_        &amp;lt;OlivePriority&amp;gt;1&amp;lt;/OlivePriority&amp;gt;_x000d__x000a_        &amp;lt;MetaDataTypeID&amp;gt;1&amp;lt;/MetaDataTypeID&amp;gt;_x000d__x000a_        &amp;lt;MetaDataChangeDate&amp;gt;2024-09-02T11:12:24.3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9-02T11:11:29.959748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02T11:11:29.96+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53963511&amp;lt;/DocumentID&amp;gt;_x000d__x000a_        &amp;lt;DocumentMainID&amp;gt;0&amp;lt;/DocumentMainID&amp;gt;_x000d__x000a_        &amp;lt;CaseID&amp;gt;80367055&amp;lt;/CaseID&amp;gt;_x000d__x000a_        &amp;lt;DocumentIncludedDate&amp;gt;2024-09-02T11:12:24.14+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02T11:12:24.14+03:00&amp;lt;/DocumentSavingDate&amp;gt;_x000d__x000a_        &amp;lt;DocumentChangeDate&amp;gt;2024-09-02T11:13:12.607+03:00&amp;lt;/DocumentChangeDate&amp;gt;_x000d__x000a_        &amp;lt;IsScanned&amp;gt;false&amp;lt;/IsScanned&amp;gt;_x000d__x000a_        &amp;lt;PageQuantity&amp;gt;0&amp;lt;/PageQuantity&amp;gt;_x000d__x000a_        &amp;lt;DocumentStatusID&amp;gt;2&amp;lt;/DocumentStatusID&amp;gt;_x000d__x000a_        &amp;lt;DocumentStatusChangeDate&amp;gt;2024-09-02T11:12:24.327+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53167126&amp;lt;/OriginalDocumentID&amp;gt;_x000d__x000a_        &amp;lt;PrivillegeID&amp;gt;2&amp;lt;/PrivillegeID&amp;gt;_x000d__x000a_        &amp;lt;FromPage&amp;gt;0&amp;lt;/FromPage&amp;gt;_x000d__x000a_        &amp;lt;ToPage&amp;gt;0&amp;lt;/ToPage&amp;gt;_x000d__x000a_        &amp;lt;FileID&amp;gt;c9cecab191010000090037f6ab119a64&amp;lt;/FileID&amp;gt;_x000d__x000a_        &amp;lt;CaseDisplayNumber&amp;gt;53964-06-23&amp;lt;/CaseDisplayNumber&amp;gt;_x000d__x000a_        &amp;lt;URL /&amp;gt;_x000d__x000a_        &amp;lt;OlivePriority&amp;gt;1&amp;lt;/OlivePriority&amp;gt;_x000d__x000a_        &amp;lt;MetaDataTypeID&amp;gt;1&amp;lt;/MetaDataTypeID&amp;gt;_x000d__x000a_        &amp;lt;MetaDataChangeDate&amp;gt;2024-09-02T11:12:24.3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9-02T11:11:29.959748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02T11:11:29.96+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2510"/>
    <w:rsid w:val="00005C8B"/>
    <w:rsid w:val="000146C2"/>
    <w:rsid w:val="00016C35"/>
    <w:rsid w:val="00024933"/>
    <w:rsid w:val="000258FD"/>
    <w:rsid w:val="000564AB"/>
    <w:rsid w:val="000674EA"/>
    <w:rsid w:val="000D10DF"/>
    <w:rsid w:val="000D4A02"/>
    <w:rsid w:val="000F1F12"/>
    <w:rsid w:val="001072A9"/>
    <w:rsid w:val="00121F97"/>
    <w:rsid w:val="001228A9"/>
    <w:rsid w:val="001277D7"/>
    <w:rsid w:val="00132017"/>
    <w:rsid w:val="0014234E"/>
    <w:rsid w:val="00145A87"/>
    <w:rsid w:val="00163AEB"/>
    <w:rsid w:val="001C4003"/>
    <w:rsid w:val="001F5474"/>
    <w:rsid w:val="00213713"/>
    <w:rsid w:val="002147D1"/>
    <w:rsid w:val="00220323"/>
    <w:rsid w:val="00222C5C"/>
    <w:rsid w:val="002352F7"/>
    <w:rsid w:val="00270048"/>
    <w:rsid w:val="0027277D"/>
    <w:rsid w:val="002D3675"/>
    <w:rsid w:val="002F65E9"/>
    <w:rsid w:val="003037B5"/>
    <w:rsid w:val="00327E32"/>
    <w:rsid w:val="003625C1"/>
    <w:rsid w:val="00381D3A"/>
    <w:rsid w:val="003823DA"/>
    <w:rsid w:val="00383298"/>
    <w:rsid w:val="00390ED0"/>
    <w:rsid w:val="003C719F"/>
    <w:rsid w:val="003E65D6"/>
    <w:rsid w:val="003F15CD"/>
    <w:rsid w:val="00422776"/>
    <w:rsid w:val="0043595F"/>
    <w:rsid w:val="00452ACD"/>
    <w:rsid w:val="004715AB"/>
    <w:rsid w:val="004763EE"/>
    <w:rsid w:val="0047645A"/>
    <w:rsid w:val="004A4ED3"/>
    <w:rsid w:val="004D49A3"/>
    <w:rsid w:val="004D50AC"/>
    <w:rsid w:val="004E6E3C"/>
    <w:rsid w:val="005124F1"/>
    <w:rsid w:val="00530BAD"/>
    <w:rsid w:val="005329E4"/>
    <w:rsid w:val="00533005"/>
    <w:rsid w:val="00541598"/>
    <w:rsid w:val="00547DB7"/>
    <w:rsid w:val="00567324"/>
    <w:rsid w:val="005A121B"/>
    <w:rsid w:val="005B0F49"/>
    <w:rsid w:val="005C7EC6"/>
    <w:rsid w:val="005D4BDB"/>
    <w:rsid w:val="005F2A31"/>
    <w:rsid w:val="006146E3"/>
    <w:rsid w:val="00622BAA"/>
    <w:rsid w:val="00625C89"/>
    <w:rsid w:val="00633C4F"/>
    <w:rsid w:val="006374C7"/>
    <w:rsid w:val="00641DB5"/>
    <w:rsid w:val="00671BD5"/>
    <w:rsid w:val="006805C1"/>
    <w:rsid w:val="006816EC"/>
    <w:rsid w:val="00694556"/>
    <w:rsid w:val="006A2FDF"/>
    <w:rsid w:val="006E1A53"/>
    <w:rsid w:val="006E1CEA"/>
    <w:rsid w:val="006E685B"/>
    <w:rsid w:val="007056AA"/>
    <w:rsid w:val="00730A21"/>
    <w:rsid w:val="00744F41"/>
    <w:rsid w:val="00764711"/>
    <w:rsid w:val="00797884"/>
    <w:rsid w:val="007A24FE"/>
    <w:rsid w:val="007A35AA"/>
    <w:rsid w:val="007F1048"/>
    <w:rsid w:val="007F4A70"/>
    <w:rsid w:val="007F728E"/>
    <w:rsid w:val="00820005"/>
    <w:rsid w:val="008277DC"/>
    <w:rsid w:val="00836EA2"/>
    <w:rsid w:val="00846D27"/>
    <w:rsid w:val="008528F0"/>
    <w:rsid w:val="008610A7"/>
    <w:rsid w:val="008A25D7"/>
    <w:rsid w:val="008B4667"/>
    <w:rsid w:val="008C174B"/>
    <w:rsid w:val="008E1332"/>
    <w:rsid w:val="00903896"/>
    <w:rsid w:val="00923297"/>
    <w:rsid w:val="00927813"/>
    <w:rsid w:val="00944D13"/>
    <w:rsid w:val="00957C90"/>
    <w:rsid w:val="00960CFC"/>
    <w:rsid w:val="009772EE"/>
    <w:rsid w:val="00981228"/>
    <w:rsid w:val="00984142"/>
    <w:rsid w:val="0098654E"/>
    <w:rsid w:val="009970C1"/>
    <w:rsid w:val="009B70F6"/>
    <w:rsid w:val="009C358E"/>
    <w:rsid w:val="009C63BE"/>
    <w:rsid w:val="009E0263"/>
    <w:rsid w:val="00A267CF"/>
    <w:rsid w:val="00A342BD"/>
    <w:rsid w:val="00A43458"/>
    <w:rsid w:val="00A46A1F"/>
    <w:rsid w:val="00A62AF8"/>
    <w:rsid w:val="00A73173"/>
    <w:rsid w:val="00AC4E19"/>
    <w:rsid w:val="00AF1ED6"/>
    <w:rsid w:val="00B0028F"/>
    <w:rsid w:val="00B11028"/>
    <w:rsid w:val="00B32C61"/>
    <w:rsid w:val="00B368FE"/>
    <w:rsid w:val="00B50368"/>
    <w:rsid w:val="00B80CBD"/>
    <w:rsid w:val="00B90F88"/>
    <w:rsid w:val="00BA5CA6"/>
    <w:rsid w:val="00BB7B68"/>
    <w:rsid w:val="00BC0D19"/>
    <w:rsid w:val="00BC3369"/>
    <w:rsid w:val="00BD074E"/>
    <w:rsid w:val="00BF77EE"/>
    <w:rsid w:val="00C32E0F"/>
    <w:rsid w:val="00C42BF9"/>
    <w:rsid w:val="00C678DD"/>
    <w:rsid w:val="00C83E56"/>
    <w:rsid w:val="00C9264C"/>
    <w:rsid w:val="00CA172E"/>
    <w:rsid w:val="00CB3102"/>
    <w:rsid w:val="00CC63CE"/>
    <w:rsid w:val="00D00B3C"/>
    <w:rsid w:val="00D209DC"/>
    <w:rsid w:val="00D23E97"/>
    <w:rsid w:val="00D319B3"/>
    <w:rsid w:val="00D36A71"/>
    <w:rsid w:val="00D5218A"/>
    <w:rsid w:val="00D53924"/>
    <w:rsid w:val="00D60849"/>
    <w:rsid w:val="00D65FD4"/>
    <w:rsid w:val="00D82491"/>
    <w:rsid w:val="00D96D8C"/>
    <w:rsid w:val="00DA07D2"/>
    <w:rsid w:val="00DA755B"/>
    <w:rsid w:val="00DD279A"/>
    <w:rsid w:val="00DD337E"/>
    <w:rsid w:val="00DD4F54"/>
    <w:rsid w:val="00E00B6F"/>
    <w:rsid w:val="00E2399A"/>
    <w:rsid w:val="00E30A73"/>
    <w:rsid w:val="00E44DDF"/>
    <w:rsid w:val="00E54642"/>
    <w:rsid w:val="00E97908"/>
    <w:rsid w:val="00EF3ED0"/>
    <w:rsid w:val="00F12E03"/>
    <w:rsid w:val="00F17E56"/>
    <w:rsid w:val="00F56F1C"/>
    <w:rsid w:val="00F75DAF"/>
    <w:rsid w:val="00FB3C14"/>
    <w:rsid w:val="00FD0433"/>
    <w:rsid w:val="00FF7A8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BB7B6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BB7B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BB7B68"/>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BB7B68"/>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BB7B68"/>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BB7B68"/>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BB7B6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BB7B6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957C90"/>
    <w:rPr>
      <w:noProof w:val="0"/>
      <w:color w:val="808080"/>
    </w:rPr>
  </w:style>
  <w:style w:type="paragraph" w:styleId="af0">
    <w:name w:val="List Paragraph"/>
    <w:basedOn w:val="a1"/>
    <w:uiPriority w:val="34"/>
    <w:qFormat/>
    <w:rsid w:val="00B0028F"/>
    <w:pPr>
      <w:ind w:left="720"/>
      <w:contextualSpacing/>
    </w:pPr>
  </w:style>
  <w:style w:type="character" w:styleId="FollowedHyperlink">
    <w:name w:val="FollowedHyperlink"/>
    <w:basedOn w:val="a2"/>
    <w:semiHidden/>
    <w:unhideWhenUsed/>
    <w:rsid w:val="00BB7B68"/>
    <w:rPr>
      <w:noProof w:val="0"/>
      <w:color w:val="800080" w:themeColor="followedHyperlink"/>
      <w:u w:val="single"/>
    </w:rPr>
  </w:style>
  <w:style w:type="character" w:styleId="HTMLCite">
    <w:name w:val="HTML Cite"/>
    <w:basedOn w:val="a2"/>
    <w:semiHidden/>
    <w:unhideWhenUsed/>
    <w:rsid w:val="00BB7B68"/>
    <w:rPr>
      <w:i/>
      <w:iCs/>
      <w:noProof w:val="0"/>
    </w:rPr>
  </w:style>
  <w:style w:type="character" w:styleId="HTMLCode">
    <w:name w:val="HTML Code"/>
    <w:basedOn w:val="a2"/>
    <w:semiHidden/>
    <w:unhideWhenUsed/>
    <w:rsid w:val="00BB7B68"/>
    <w:rPr>
      <w:rFonts w:ascii="Consolas" w:hAnsi="Consolas"/>
      <w:noProof w:val="0"/>
      <w:sz w:val="20"/>
      <w:szCs w:val="20"/>
    </w:rPr>
  </w:style>
  <w:style w:type="character" w:styleId="HTMLDefinition">
    <w:name w:val="HTML Definition"/>
    <w:basedOn w:val="a2"/>
    <w:semiHidden/>
    <w:unhideWhenUsed/>
    <w:rsid w:val="00BB7B68"/>
    <w:rPr>
      <w:i/>
      <w:iCs/>
      <w:noProof w:val="0"/>
    </w:rPr>
  </w:style>
  <w:style w:type="character" w:styleId="HTMLVariable">
    <w:name w:val="HTML Variable"/>
    <w:basedOn w:val="a2"/>
    <w:semiHidden/>
    <w:unhideWhenUsed/>
    <w:rsid w:val="00BB7B68"/>
    <w:rPr>
      <w:i/>
      <w:iCs/>
      <w:noProof w:val="0"/>
    </w:rPr>
  </w:style>
  <w:style w:type="paragraph" w:styleId="HTML">
    <w:name w:val="HTML Preformatted"/>
    <w:basedOn w:val="a1"/>
    <w:link w:val="HTML0"/>
    <w:semiHidden/>
    <w:unhideWhenUsed/>
    <w:rsid w:val="00BB7B68"/>
    <w:rPr>
      <w:rFonts w:ascii="Consolas" w:hAnsi="Consolas"/>
      <w:sz w:val="20"/>
      <w:szCs w:val="20"/>
    </w:rPr>
  </w:style>
  <w:style w:type="character" w:customStyle="1" w:styleId="HTML0">
    <w:name w:val="HTML מעוצב מראש תו"/>
    <w:basedOn w:val="a2"/>
    <w:link w:val="HTML"/>
    <w:semiHidden/>
    <w:rsid w:val="00BB7B68"/>
    <w:rPr>
      <w:rFonts w:ascii="Consolas" w:hAnsi="Consolas" w:cs="David"/>
      <w:noProof w:val="0"/>
    </w:rPr>
  </w:style>
  <w:style w:type="character" w:styleId="Hyperlink">
    <w:name w:val="Hyperlink"/>
    <w:basedOn w:val="a2"/>
    <w:semiHidden/>
    <w:unhideWhenUsed/>
    <w:rsid w:val="00BB7B68"/>
    <w:rPr>
      <w:noProof w:val="0"/>
      <w:color w:val="0000FF" w:themeColor="hyperlink"/>
      <w:u w:val="single"/>
    </w:rPr>
  </w:style>
  <w:style w:type="paragraph" w:styleId="Index1">
    <w:name w:val="index 1"/>
    <w:basedOn w:val="a1"/>
    <w:next w:val="a1"/>
    <w:autoRedefine/>
    <w:semiHidden/>
    <w:unhideWhenUsed/>
    <w:rsid w:val="00BB7B68"/>
    <w:pPr>
      <w:ind w:left="240" w:hanging="240"/>
    </w:pPr>
  </w:style>
  <w:style w:type="paragraph" w:styleId="Index2">
    <w:name w:val="index 2"/>
    <w:basedOn w:val="a1"/>
    <w:next w:val="a1"/>
    <w:autoRedefine/>
    <w:semiHidden/>
    <w:unhideWhenUsed/>
    <w:rsid w:val="00BB7B68"/>
    <w:pPr>
      <w:ind w:left="480" w:hanging="240"/>
    </w:pPr>
  </w:style>
  <w:style w:type="paragraph" w:styleId="Index3">
    <w:name w:val="index 3"/>
    <w:basedOn w:val="a1"/>
    <w:next w:val="a1"/>
    <w:autoRedefine/>
    <w:semiHidden/>
    <w:unhideWhenUsed/>
    <w:rsid w:val="00BB7B68"/>
    <w:pPr>
      <w:ind w:left="720" w:hanging="240"/>
    </w:pPr>
  </w:style>
  <w:style w:type="paragraph" w:styleId="Index4">
    <w:name w:val="index 4"/>
    <w:basedOn w:val="a1"/>
    <w:next w:val="a1"/>
    <w:autoRedefine/>
    <w:semiHidden/>
    <w:unhideWhenUsed/>
    <w:rsid w:val="00BB7B68"/>
    <w:pPr>
      <w:ind w:left="960" w:hanging="240"/>
    </w:pPr>
  </w:style>
  <w:style w:type="paragraph" w:styleId="Index5">
    <w:name w:val="index 5"/>
    <w:basedOn w:val="a1"/>
    <w:next w:val="a1"/>
    <w:autoRedefine/>
    <w:semiHidden/>
    <w:unhideWhenUsed/>
    <w:rsid w:val="00BB7B68"/>
    <w:pPr>
      <w:ind w:left="1200" w:hanging="240"/>
    </w:pPr>
  </w:style>
  <w:style w:type="paragraph" w:styleId="Index6">
    <w:name w:val="index 6"/>
    <w:basedOn w:val="a1"/>
    <w:next w:val="a1"/>
    <w:autoRedefine/>
    <w:semiHidden/>
    <w:unhideWhenUsed/>
    <w:rsid w:val="00BB7B68"/>
    <w:pPr>
      <w:ind w:left="1440" w:hanging="240"/>
    </w:pPr>
  </w:style>
  <w:style w:type="paragraph" w:styleId="Index7">
    <w:name w:val="index 7"/>
    <w:basedOn w:val="a1"/>
    <w:next w:val="a1"/>
    <w:autoRedefine/>
    <w:semiHidden/>
    <w:unhideWhenUsed/>
    <w:rsid w:val="00BB7B68"/>
    <w:pPr>
      <w:ind w:left="1680" w:hanging="240"/>
    </w:pPr>
  </w:style>
  <w:style w:type="paragraph" w:styleId="Index8">
    <w:name w:val="index 8"/>
    <w:basedOn w:val="a1"/>
    <w:next w:val="a1"/>
    <w:autoRedefine/>
    <w:semiHidden/>
    <w:unhideWhenUsed/>
    <w:rsid w:val="00BB7B68"/>
    <w:pPr>
      <w:ind w:left="1920" w:hanging="240"/>
    </w:pPr>
  </w:style>
  <w:style w:type="paragraph" w:styleId="Index9">
    <w:name w:val="index 9"/>
    <w:basedOn w:val="a1"/>
    <w:next w:val="a1"/>
    <w:autoRedefine/>
    <w:semiHidden/>
    <w:unhideWhenUsed/>
    <w:rsid w:val="00BB7B68"/>
    <w:pPr>
      <w:ind w:left="2160" w:hanging="240"/>
    </w:pPr>
  </w:style>
  <w:style w:type="paragraph" w:styleId="NormalWeb">
    <w:name w:val="Normal (Web)"/>
    <w:basedOn w:val="a1"/>
    <w:semiHidden/>
    <w:unhideWhenUsed/>
    <w:rsid w:val="00BB7B68"/>
    <w:rPr>
      <w:rFonts w:cs="Times New Roman"/>
    </w:rPr>
  </w:style>
  <w:style w:type="paragraph" w:styleId="TOC1">
    <w:name w:val="toc 1"/>
    <w:basedOn w:val="a1"/>
    <w:next w:val="a1"/>
    <w:autoRedefine/>
    <w:semiHidden/>
    <w:unhideWhenUsed/>
    <w:rsid w:val="00BB7B68"/>
    <w:pPr>
      <w:spacing w:after="100"/>
    </w:pPr>
  </w:style>
  <w:style w:type="paragraph" w:styleId="TOC2">
    <w:name w:val="toc 2"/>
    <w:basedOn w:val="a1"/>
    <w:next w:val="a1"/>
    <w:autoRedefine/>
    <w:semiHidden/>
    <w:unhideWhenUsed/>
    <w:rsid w:val="00BB7B68"/>
    <w:pPr>
      <w:spacing w:after="100"/>
      <w:ind w:left="240"/>
    </w:pPr>
  </w:style>
  <w:style w:type="paragraph" w:styleId="TOC3">
    <w:name w:val="toc 3"/>
    <w:basedOn w:val="a1"/>
    <w:next w:val="a1"/>
    <w:autoRedefine/>
    <w:semiHidden/>
    <w:unhideWhenUsed/>
    <w:rsid w:val="00BB7B68"/>
    <w:pPr>
      <w:spacing w:after="100"/>
      <w:ind w:left="480"/>
    </w:pPr>
  </w:style>
  <w:style w:type="paragraph" w:styleId="TOC4">
    <w:name w:val="toc 4"/>
    <w:basedOn w:val="a1"/>
    <w:next w:val="a1"/>
    <w:autoRedefine/>
    <w:semiHidden/>
    <w:unhideWhenUsed/>
    <w:rsid w:val="00BB7B68"/>
    <w:pPr>
      <w:spacing w:after="100"/>
      <w:ind w:left="720"/>
    </w:pPr>
  </w:style>
  <w:style w:type="paragraph" w:styleId="TOC5">
    <w:name w:val="toc 5"/>
    <w:basedOn w:val="a1"/>
    <w:next w:val="a1"/>
    <w:autoRedefine/>
    <w:semiHidden/>
    <w:unhideWhenUsed/>
    <w:rsid w:val="00BB7B68"/>
    <w:pPr>
      <w:spacing w:after="100"/>
      <w:ind w:left="960"/>
    </w:pPr>
  </w:style>
  <w:style w:type="paragraph" w:styleId="TOC6">
    <w:name w:val="toc 6"/>
    <w:basedOn w:val="a1"/>
    <w:next w:val="a1"/>
    <w:autoRedefine/>
    <w:semiHidden/>
    <w:unhideWhenUsed/>
    <w:rsid w:val="00BB7B68"/>
    <w:pPr>
      <w:spacing w:after="100"/>
      <w:ind w:left="1200"/>
    </w:pPr>
  </w:style>
  <w:style w:type="paragraph" w:styleId="TOC7">
    <w:name w:val="toc 7"/>
    <w:basedOn w:val="a1"/>
    <w:next w:val="a1"/>
    <w:autoRedefine/>
    <w:semiHidden/>
    <w:unhideWhenUsed/>
    <w:rsid w:val="00BB7B68"/>
    <w:pPr>
      <w:spacing w:after="100"/>
      <w:ind w:left="1440"/>
    </w:pPr>
  </w:style>
  <w:style w:type="paragraph" w:styleId="TOC8">
    <w:name w:val="toc 8"/>
    <w:basedOn w:val="a1"/>
    <w:next w:val="a1"/>
    <w:autoRedefine/>
    <w:semiHidden/>
    <w:unhideWhenUsed/>
    <w:rsid w:val="00BB7B68"/>
    <w:pPr>
      <w:spacing w:after="100"/>
      <w:ind w:left="1680"/>
    </w:pPr>
  </w:style>
  <w:style w:type="paragraph" w:styleId="TOC9">
    <w:name w:val="toc 9"/>
    <w:basedOn w:val="a1"/>
    <w:next w:val="a1"/>
    <w:autoRedefine/>
    <w:semiHidden/>
    <w:unhideWhenUsed/>
    <w:rsid w:val="00BB7B68"/>
    <w:pPr>
      <w:spacing w:after="100"/>
      <w:ind w:left="1920"/>
    </w:pPr>
  </w:style>
  <w:style w:type="table" w:styleId="-1">
    <w:name w:val="Table 3D effects 1"/>
    <w:basedOn w:val="a3"/>
    <w:semiHidden/>
    <w:unhideWhenUsed/>
    <w:rsid w:val="00BB7B68"/>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BB7B68"/>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BB7B68"/>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BB7B68"/>
  </w:style>
  <w:style w:type="paragraph" w:styleId="af2">
    <w:name w:val="Salutation"/>
    <w:basedOn w:val="a1"/>
    <w:next w:val="a1"/>
    <w:link w:val="af3"/>
    <w:rsid w:val="00BB7B68"/>
  </w:style>
  <w:style w:type="character" w:customStyle="1" w:styleId="af3">
    <w:name w:val="ברכה תו"/>
    <w:basedOn w:val="a2"/>
    <w:link w:val="af2"/>
    <w:rsid w:val="00BB7B68"/>
    <w:rPr>
      <w:rFonts w:cs="David"/>
      <w:noProof w:val="0"/>
      <w:sz w:val="24"/>
      <w:szCs w:val="24"/>
    </w:rPr>
  </w:style>
  <w:style w:type="paragraph" w:styleId="af4">
    <w:name w:val="Body Text"/>
    <w:basedOn w:val="a1"/>
    <w:link w:val="af5"/>
    <w:semiHidden/>
    <w:unhideWhenUsed/>
    <w:rsid w:val="00BB7B68"/>
    <w:pPr>
      <w:spacing w:after="120"/>
    </w:pPr>
  </w:style>
  <w:style w:type="character" w:customStyle="1" w:styleId="af5">
    <w:name w:val="גוף טקסט תו"/>
    <w:basedOn w:val="a2"/>
    <w:link w:val="af4"/>
    <w:semiHidden/>
    <w:rsid w:val="00BB7B68"/>
    <w:rPr>
      <w:rFonts w:cs="David"/>
      <w:noProof w:val="0"/>
      <w:sz w:val="24"/>
      <w:szCs w:val="24"/>
    </w:rPr>
  </w:style>
  <w:style w:type="paragraph" w:styleId="23">
    <w:name w:val="Body Text 2"/>
    <w:basedOn w:val="a1"/>
    <w:link w:val="24"/>
    <w:semiHidden/>
    <w:unhideWhenUsed/>
    <w:rsid w:val="00BB7B68"/>
    <w:pPr>
      <w:spacing w:after="120" w:line="480" w:lineRule="auto"/>
    </w:pPr>
  </w:style>
  <w:style w:type="character" w:customStyle="1" w:styleId="24">
    <w:name w:val="גוף טקסט 2 תו"/>
    <w:basedOn w:val="a2"/>
    <w:link w:val="23"/>
    <w:semiHidden/>
    <w:rsid w:val="00BB7B68"/>
    <w:rPr>
      <w:rFonts w:cs="David"/>
      <w:noProof w:val="0"/>
      <w:sz w:val="24"/>
      <w:szCs w:val="24"/>
    </w:rPr>
  </w:style>
  <w:style w:type="paragraph" w:styleId="33">
    <w:name w:val="Body Text 3"/>
    <w:basedOn w:val="a1"/>
    <w:link w:val="34"/>
    <w:semiHidden/>
    <w:unhideWhenUsed/>
    <w:rsid w:val="00BB7B68"/>
    <w:pPr>
      <w:spacing w:after="120"/>
    </w:pPr>
    <w:rPr>
      <w:sz w:val="16"/>
      <w:szCs w:val="16"/>
    </w:rPr>
  </w:style>
  <w:style w:type="character" w:customStyle="1" w:styleId="34">
    <w:name w:val="גוף טקסט 3 תו"/>
    <w:basedOn w:val="a2"/>
    <w:link w:val="33"/>
    <w:semiHidden/>
    <w:rsid w:val="00BB7B68"/>
    <w:rPr>
      <w:rFonts w:cs="David"/>
      <w:noProof w:val="0"/>
      <w:sz w:val="16"/>
      <w:szCs w:val="16"/>
    </w:rPr>
  </w:style>
  <w:style w:type="character" w:styleId="HTML1">
    <w:name w:val="HTML Sample"/>
    <w:basedOn w:val="a2"/>
    <w:semiHidden/>
    <w:unhideWhenUsed/>
    <w:rsid w:val="00BB7B68"/>
    <w:rPr>
      <w:rFonts w:ascii="Consolas" w:hAnsi="Consolas"/>
      <w:noProof w:val="0"/>
      <w:sz w:val="24"/>
      <w:szCs w:val="24"/>
    </w:rPr>
  </w:style>
  <w:style w:type="character" w:styleId="af6">
    <w:name w:val="Emphasis"/>
    <w:basedOn w:val="a2"/>
    <w:qFormat/>
    <w:rsid w:val="00BB7B68"/>
    <w:rPr>
      <w:i/>
      <w:iCs/>
      <w:noProof w:val="0"/>
    </w:rPr>
  </w:style>
  <w:style w:type="character" w:styleId="af7">
    <w:name w:val="Intense Emphasis"/>
    <w:basedOn w:val="a2"/>
    <w:uiPriority w:val="21"/>
    <w:qFormat/>
    <w:rsid w:val="00BB7B68"/>
    <w:rPr>
      <w:i/>
      <w:iCs/>
      <w:noProof w:val="0"/>
      <w:color w:val="4F81BD" w:themeColor="accent1"/>
    </w:rPr>
  </w:style>
  <w:style w:type="character" w:styleId="af8">
    <w:name w:val="Subtle Emphasis"/>
    <w:basedOn w:val="a2"/>
    <w:uiPriority w:val="19"/>
    <w:qFormat/>
    <w:rsid w:val="00BB7B68"/>
    <w:rPr>
      <w:i/>
      <w:iCs/>
      <w:noProof w:val="0"/>
      <w:color w:val="404040" w:themeColor="text1" w:themeTint="BF"/>
    </w:rPr>
  </w:style>
  <w:style w:type="paragraph" w:styleId="af9">
    <w:name w:val="List Continue"/>
    <w:basedOn w:val="a1"/>
    <w:semiHidden/>
    <w:unhideWhenUsed/>
    <w:rsid w:val="00BB7B68"/>
    <w:pPr>
      <w:spacing w:after="120"/>
      <w:ind w:left="283"/>
      <w:contextualSpacing/>
    </w:pPr>
  </w:style>
  <w:style w:type="paragraph" w:styleId="25">
    <w:name w:val="List Continue 2"/>
    <w:basedOn w:val="a1"/>
    <w:semiHidden/>
    <w:unhideWhenUsed/>
    <w:rsid w:val="00BB7B68"/>
    <w:pPr>
      <w:spacing w:after="120"/>
      <w:ind w:left="566"/>
      <w:contextualSpacing/>
    </w:pPr>
  </w:style>
  <w:style w:type="paragraph" w:styleId="35">
    <w:name w:val="List Continue 3"/>
    <w:basedOn w:val="a1"/>
    <w:semiHidden/>
    <w:unhideWhenUsed/>
    <w:rsid w:val="00BB7B68"/>
    <w:pPr>
      <w:spacing w:after="120"/>
      <w:ind w:left="849"/>
      <w:contextualSpacing/>
    </w:pPr>
  </w:style>
  <w:style w:type="paragraph" w:styleId="42">
    <w:name w:val="List Continue 4"/>
    <w:basedOn w:val="a1"/>
    <w:semiHidden/>
    <w:unhideWhenUsed/>
    <w:rsid w:val="00BB7B68"/>
    <w:pPr>
      <w:spacing w:after="120"/>
      <w:ind w:left="1132"/>
      <w:contextualSpacing/>
    </w:pPr>
  </w:style>
  <w:style w:type="paragraph" w:styleId="53">
    <w:name w:val="List Continue 5"/>
    <w:basedOn w:val="a1"/>
    <w:semiHidden/>
    <w:unhideWhenUsed/>
    <w:rsid w:val="00BB7B68"/>
    <w:pPr>
      <w:spacing w:after="120"/>
      <w:ind w:left="1415"/>
      <w:contextualSpacing/>
    </w:pPr>
  </w:style>
  <w:style w:type="character" w:styleId="afa">
    <w:name w:val="Intense Reference"/>
    <w:basedOn w:val="a2"/>
    <w:uiPriority w:val="32"/>
    <w:qFormat/>
    <w:rsid w:val="00BB7B68"/>
    <w:rPr>
      <w:b/>
      <w:bCs/>
      <w:smallCaps/>
      <w:noProof w:val="0"/>
      <w:color w:val="4F81BD" w:themeColor="accent1"/>
      <w:spacing w:val="5"/>
    </w:rPr>
  </w:style>
  <w:style w:type="character" w:styleId="afb">
    <w:name w:val="endnote reference"/>
    <w:basedOn w:val="a2"/>
    <w:semiHidden/>
    <w:unhideWhenUsed/>
    <w:rsid w:val="00BB7B68"/>
    <w:rPr>
      <w:noProof w:val="0"/>
      <w:vertAlign w:val="superscript"/>
    </w:rPr>
  </w:style>
  <w:style w:type="character" w:styleId="afc">
    <w:name w:val="footnote reference"/>
    <w:basedOn w:val="a2"/>
    <w:semiHidden/>
    <w:unhideWhenUsed/>
    <w:rsid w:val="00BB7B68"/>
    <w:rPr>
      <w:noProof w:val="0"/>
      <w:vertAlign w:val="superscript"/>
    </w:rPr>
  </w:style>
  <w:style w:type="character" w:styleId="afd">
    <w:name w:val="Subtle Reference"/>
    <w:basedOn w:val="a2"/>
    <w:uiPriority w:val="31"/>
    <w:qFormat/>
    <w:rsid w:val="00BB7B68"/>
    <w:rPr>
      <w:smallCaps/>
      <w:noProof w:val="0"/>
      <w:color w:val="5A5A5A" w:themeColor="text1" w:themeTint="A5"/>
    </w:rPr>
  </w:style>
  <w:style w:type="table" w:styleId="afe">
    <w:name w:val="Light Shading"/>
    <w:basedOn w:val="a3"/>
    <w:uiPriority w:val="60"/>
    <w:semiHidden/>
    <w:unhideWhenUsed/>
    <w:rsid w:val="00BB7B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BB7B6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BB7B6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BB7B6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BB7B6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BB7B6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BB7B6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BB7B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BB7B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B7B6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B7B6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B7B6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B7B6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B7B6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B7B6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BB7B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B7B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B7B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B7B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B7B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B7B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BB7B6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BB7B6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BB7B6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BB7B6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BB7B6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BB7B6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BB7B6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BB7B68"/>
    <w:rPr>
      <w:b/>
      <w:bCs/>
      <w:noProof w:val="0"/>
    </w:rPr>
  </w:style>
  <w:style w:type="paragraph" w:styleId="aff1">
    <w:name w:val="Signature"/>
    <w:basedOn w:val="a1"/>
    <w:link w:val="aff2"/>
    <w:semiHidden/>
    <w:unhideWhenUsed/>
    <w:rsid w:val="00BB7B68"/>
    <w:pPr>
      <w:ind w:left="4252"/>
    </w:pPr>
  </w:style>
  <w:style w:type="character" w:customStyle="1" w:styleId="aff2">
    <w:name w:val="חתימה תו"/>
    <w:basedOn w:val="a2"/>
    <w:link w:val="aff1"/>
    <w:semiHidden/>
    <w:rsid w:val="00BB7B68"/>
    <w:rPr>
      <w:rFonts w:cs="David"/>
      <w:noProof w:val="0"/>
      <w:sz w:val="24"/>
      <w:szCs w:val="24"/>
    </w:rPr>
  </w:style>
  <w:style w:type="paragraph" w:styleId="aff3">
    <w:name w:val="E-mail Signature"/>
    <w:basedOn w:val="a1"/>
    <w:link w:val="aff4"/>
    <w:semiHidden/>
    <w:unhideWhenUsed/>
    <w:rsid w:val="00BB7B68"/>
  </w:style>
  <w:style w:type="character" w:customStyle="1" w:styleId="aff4">
    <w:name w:val="חתימת דואר אלקטרוני תו"/>
    <w:basedOn w:val="a2"/>
    <w:link w:val="aff3"/>
    <w:semiHidden/>
    <w:rsid w:val="00BB7B68"/>
    <w:rPr>
      <w:rFonts w:cs="David"/>
      <w:noProof w:val="0"/>
      <w:sz w:val="24"/>
      <w:szCs w:val="24"/>
    </w:rPr>
  </w:style>
  <w:style w:type="table" w:styleId="aff5">
    <w:name w:val="Table Elegant"/>
    <w:basedOn w:val="a3"/>
    <w:semiHidden/>
    <w:unhideWhenUsed/>
    <w:rsid w:val="00BB7B68"/>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BB7B68"/>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BB7B68"/>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BB7B68"/>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BB7B68"/>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BB7B68"/>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BB7B68"/>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BB7B68"/>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BB7B68"/>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BB7B68"/>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BB7B68"/>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BB7B68"/>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BB7B68"/>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BB7B68"/>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BB7B68"/>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BB7B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BB7B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BB7B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BB7B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BB7B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BB7B68"/>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BB7B68"/>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BB7B68"/>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BB7B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BB7B6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BB7B6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BB7B6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BB7B6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BB7B6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BB7B6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BB7B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BB7B6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BB7B6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BB7B6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BB7B6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BB7B6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BB7B6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BB7B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BB7B6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BB7B6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BB7B6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BB7B6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BB7B6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BB7B6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BB7B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BB7B6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BB7B6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BB7B6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BB7B6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BB7B6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BB7B6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BB7B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BB7B6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BB7B6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BB7B6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BB7B6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BB7B6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BB7B6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BB7B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BB7B6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BB7B6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BB7B6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BB7B6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BB7B6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BB7B6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BB7B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BB7B6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BB7B6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BB7B6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BB7B6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BB7B6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BB7B6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BB7B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BB7B6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BB7B6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BB7B6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BB7B6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BB7B6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BB7B6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BB7B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BB7B6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BB7B6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BB7B6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BB7B6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BB7B6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BB7B6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BB7B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BB7B6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BB7B6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BB7B6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BB7B6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BB7B6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BB7B6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BB7B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BB7B6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BB7B6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BB7B6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BB7B6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BB7B6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BB7B6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BB7B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BB7B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BB7B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BB7B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BB7B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BB7B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BB7B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BB7B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BB7B6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BB7B6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BB7B6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BB7B6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BB7B6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BB7B6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BB7B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BB7B6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BB7B6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BB7B6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BB7B6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BB7B6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BB7B6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BB7B6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BB7B68"/>
    <w:rPr>
      <w:sz w:val="20"/>
      <w:szCs w:val="20"/>
    </w:rPr>
  </w:style>
  <w:style w:type="character" w:customStyle="1" w:styleId="affa">
    <w:name w:val="טקסט הערת סיום תו"/>
    <w:basedOn w:val="a2"/>
    <w:link w:val="aff9"/>
    <w:semiHidden/>
    <w:rsid w:val="00BB7B68"/>
    <w:rPr>
      <w:rFonts w:cs="David"/>
      <w:noProof w:val="0"/>
    </w:rPr>
  </w:style>
  <w:style w:type="paragraph" w:styleId="affb">
    <w:name w:val="footnote text"/>
    <w:basedOn w:val="a1"/>
    <w:link w:val="affc"/>
    <w:semiHidden/>
    <w:unhideWhenUsed/>
    <w:rsid w:val="00BB7B68"/>
    <w:rPr>
      <w:sz w:val="20"/>
      <w:szCs w:val="20"/>
    </w:rPr>
  </w:style>
  <w:style w:type="character" w:customStyle="1" w:styleId="affc">
    <w:name w:val="טקסט הערת שוליים תו"/>
    <w:basedOn w:val="a2"/>
    <w:link w:val="affb"/>
    <w:semiHidden/>
    <w:rsid w:val="00BB7B68"/>
    <w:rPr>
      <w:rFonts w:cs="David"/>
      <w:noProof w:val="0"/>
    </w:rPr>
  </w:style>
  <w:style w:type="paragraph" w:styleId="affd">
    <w:name w:val="macro"/>
    <w:link w:val="affe"/>
    <w:semiHidden/>
    <w:unhideWhenUsed/>
    <w:rsid w:val="00BB7B68"/>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BB7B68"/>
    <w:rPr>
      <w:rFonts w:ascii="Consolas" w:hAnsi="Consolas" w:cs="David"/>
      <w:noProof w:val="0"/>
    </w:rPr>
  </w:style>
  <w:style w:type="paragraph" w:styleId="afff">
    <w:name w:val="Plain Text"/>
    <w:basedOn w:val="a1"/>
    <w:link w:val="afff0"/>
    <w:semiHidden/>
    <w:unhideWhenUsed/>
    <w:rsid w:val="00BB7B68"/>
    <w:rPr>
      <w:rFonts w:ascii="Consolas" w:hAnsi="Consolas"/>
      <w:sz w:val="21"/>
      <w:szCs w:val="21"/>
    </w:rPr>
  </w:style>
  <w:style w:type="character" w:customStyle="1" w:styleId="afff0">
    <w:name w:val="טקסט רגיל תו"/>
    <w:basedOn w:val="a2"/>
    <w:link w:val="afff"/>
    <w:semiHidden/>
    <w:rsid w:val="00BB7B68"/>
    <w:rPr>
      <w:rFonts w:ascii="Consolas" w:hAnsi="Consolas" w:cs="David"/>
      <w:noProof w:val="0"/>
      <w:sz w:val="21"/>
      <w:szCs w:val="21"/>
    </w:rPr>
  </w:style>
  <w:style w:type="character" w:styleId="afff1">
    <w:name w:val="Book Title"/>
    <w:basedOn w:val="a2"/>
    <w:uiPriority w:val="33"/>
    <w:qFormat/>
    <w:rsid w:val="00BB7B68"/>
    <w:rPr>
      <w:b/>
      <w:bCs/>
      <w:i/>
      <w:iCs/>
      <w:noProof w:val="0"/>
      <w:spacing w:val="5"/>
    </w:rPr>
  </w:style>
  <w:style w:type="character" w:customStyle="1" w:styleId="10">
    <w:name w:val="כותרת 1 תו"/>
    <w:basedOn w:val="a2"/>
    <w:link w:val="1"/>
    <w:rsid w:val="00BB7B68"/>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BB7B68"/>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BB7B68"/>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BB7B68"/>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BB7B68"/>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BB7B68"/>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BB7B68"/>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BB7B68"/>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BB7B68"/>
    <w:rPr>
      <w:rFonts w:asciiTheme="majorHAnsi" w:eastAsiaTheme="majorEastAsia" w:hAnsiTheme="majorHAnsi" w:cstheme="majorBidi"/>
      <w:b/>
      <w:bCs/>
    </w:rPr>
  </w:style>
  <w:style w:type="paragraph" w:styleId="afff3">
    <w:name w:val="Note Heading"/>
    <w:basedOn w:val="a1"/>
    <w:next w:val="a1"/>
    <w:link w:val="afff4"/>
    <w:semiHidden/>
    <w:unhideWhenUsed/>
    <w:rsid w:val="00BB7B68"/>
  </w:style>
  <w:style w:type="character" w:customStyle="1" w:styleId="afff4">
    <w:name w:val="כותרת הערות תו"/>
    <w:basedOn w:val="a2"/>
    <w:link w:val="afff3"/>
    <w:semiHidden/>
    <w:rsid w:val="00BB7B68"/>
    <w:rPr>
      <w:rFonts w:cs="David"/>
      <w:noProof w:val="0"/>
      <w:sz w:val="24"/>
      <w:szCs w:val="24"/>
    </w:rPr>
  </w:style>
  <w:style w:type="paragraph" w:styleId="afff5">
    <w:name w:val="Title"/>
    <w:basedOn w:val="a1"/>
    <w:next w:val="a1"/>
    <w:link w:val="afff6"/>
    <w:qFormat/>
    <w:rsid w:val="00BB7B68"/>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BB7B68"/>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BB7B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BB7B68"/>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BB7B6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BB7B68"/>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BB7B68"/>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BB7B68"/>
    <w:pPr>
      <w:outlineLvl w:val="9"/>
    </w:pPr>
  </w:style>
  <w:style w:type="paragraph" w:styleId="afffd">
    <w:name w:val="caption"/>
    <w:basedOn w:val="a1"/>
    <w:next w:val="a1"/>
    <w:semiHidden/>
    <w:unhideWhenUsed/>
    <w:qFormat/>
    <w:rsid w:val="00BB7B68"/>
    <w:pPr>
      <w:spacing w:after="200"/>
    </w:pPr>
    <w:rPr>
      <w:i/>
      <w:iCs/>
      <w:color w:val="1F497D" w:themeColor="text2"/>
      <w:sz w:val="18"/>
      <w:szCs w:val="18"/>
    </w:rPr>
  </w:style>
  <w:style w:type="paragraph" w:styleId="afffe">
    <w:name w:val="Body Text Indent"/>
    <w:basedOn w:val="a1"/>
    <w:link w:val="affff"/>
    <w:semiHidden/>
    <w:unhideWhenUsed/>
    <w:rsid w:val="00BB7B68"/>
    <w:pPr>
      <w:spacing w:after="120"/>
      <w:ind w:left="283"/>
    </w:pPr>
  </w:style>
  <w:style w:type="character" w:customStyle="1" w:styleId="affff">
    <w:name w:val="כניסה בגוף טקסט תו"/>
    <w:basedOn w:val="a2"/>
    <w:link w:val="afffe"/>
    <w:semiHidden/>
    <w:rsid w:val="00BB7B68"/>
    <w:rPr>
      <w:rFonts w:cs="David"/>
      <w:noProof w:val="0"/>
      <w:sz w:val="24"/>
      <w:szCs w:val="24"/>
    </w:rPr>
  </w:style>
  <w:style w:type="paragraph" w:styleId="2f">
    <w:name w:val="Body Text Indent 2"/>
    <w:basedOn w:val="a1"/>
    <w:link w:val="2f0"/>
    <w:semiHidden/>
    <w:unhideWhenUsed/>
    <w:rsid w:val="00BB7B68"/>
    <w:pPr>
      <w:spacing w:after="120" w:line="480" w:lineRule="auto"/>
      <w:ind w:left="283"/>
    </w:pPr>
  </w:style>
  <w:style w:type="character" w:customStyle="1" w:styleId="2f0">
    <w:name w:val="כניסה בגוף טקסט 2 תו"/>
    <w:basedOn w:val="a2"/>
    <w:link w:val="2f"/>
    <w:semiHidden/>
    <w:rsid w:val="00BB7B68"/>
    <w:rPr>
      <w:rFonts w:cs="David"/>
      <w:noProof w:val="0"/>
      <w:sz w:val="24"/>
      <w:szCs w:val="24"/>
    </w:rPr>
  </w:style>
  <w:style w:type="paragraph" w:styleId="3d">
    <w:name w:val="Body Text Indent 3"/>
    <w:basedOn w:val="a1"/>
    <w:link w:val="3e"/>
    <w:semiHidden/>
    <w:unhideWhenUsed/>
    <w:rsid w:val="00BB7B68"/>
    <w:pPr>
      <w:spacing w:after="120"/>
      <w:ind w:left="283"/>
    </w:pPr>
    <w:rPr>
      <w:sz w:val="16"/>
      <w:szCs w:val="16"/>
    </w:rPr>
  </w:style>
  <w:style w:type="character" w:customStyle="1" w:styleId="3e">
    <w:name w:val="כניסה בגוף טקסט 3 תו"/>
    <w:basedOn w:val="a2"/>
    <w:link w:val="3d"/>
    <w:semiHidden/>
    <w:rsid w:val="00BB7B68"/>
    <w:rPr>
      <w:rFonts w:cs="David"/>
      <w:noProof w:val="0"/>
      <w:sz w:val="16"/>
      <w:szCs w:val="16"/>
    </w:rPr>
  </w:style>
  <w:style w:type="paragraph" w:styleId="affff0">
    <w:name w:val="Normal Indent"/>
    <w:basedOn w:val="a1"/>
    <w:semiHidden/>
    <w:unhideWhenUsed/>
    <w:rsid w:val="00BB7B68"/>
    <w:pPr>
      <w:ind w:left="720"/>
    </w:pPr>
  </w:style>
  <w:style w:type="paragraph" w:styleId="affff1">
    <w:name w:val="Body Text First Indent"/>
    <w:basedOn w:val="af4"/>
    <w:link w:val="affff2"/>
    <w:rsid w:val="00BB7B68"/>
    <w:pPr>
      <w:spacing w:after="0"/>
      <w:ind w:firstLine="360"/>
    </w:pPr>
  </w:style>
  <w:style w:type="character" w:customStyle="1" w:styleId="affff2">
    <w:name w:val="כניסת שורה ראשונה בגוף טקסט תו"/>
    <w:basedOn w:val="af5"/>
    <w:link w:val="affff1"/>
    <w:rsid w:val="00BB7B68"/>
    <w:rPr>
      <w:rFonts w:cs="David"/>
      <w:noProof w:val="0"/>
      <w:sz w:val="24"/>
      <w:szCs w:val="24"/>
    </w:rPr>
  </w:style>
  <w:style w:type="paragraph" w:styleId="2f1">
    <w:name w:val="Body Text First Indent 2"/>
    <w:basedOn w:val="afffe"/>
    <w:link w:val="2f2"/>
    <w:semiHidden/>
    <w:unhideWhenUsed/>
    <w:rsid w:val="00BB7B68"/>
    <w:pPr>
      <w:spacing w:after="0"/>
      <w:ind w:left="360" w:firstLine="360"/>
    </w:pPr>
  </w:style>
  <w:style w:type="character" w:customStyle="1" w:styleId="2f2">
    <w:name w:val="כניסת שורה ראשונה בגוף טקסט 2 תו"/>
    <w:basedOn w:val="affff"/>
    <w:link w:val="2f1"/>
    <w:semiHidden/>
    <w:rsid w:val="00BB7B68"/>
    <w:rPr>
      <w:rFonts w:cs="David"/>
      <w:noProof w:val="0"/>
      <w:sz w:val="24"/>
      <w:szCs w:val="24"/>
    </w:rPr>
  </w:style>
  <w:style w:type="paragraph" w:styleId="HTML2">
    <w:name w:val="HTML Address"/>
    <w:basedOn w:val="a1"/>
    <w:link w:val="HTML3"/>
    <w:semiHidden/>
    <w:unhideWhenUsed/>
    <w:rsid w:val="00BB7B68"/>
    <w:rPr>
      <w:i/>
      <w:iCs/>
    </w:rPr>
  </w:style>
  <w:style w:type="character" w:customStyle="1" w:styleId="HTML3">
    <w:name w:val="כתובת HTML תו"/>
    <w:basedOn w:val="a2"/>
    <w:link w:val="HTML2"/>
    <w:semiHidden/>
    <w:rsid w:val="00BB7B68"/>
    <w:rPr>
      <w:rFonts w:cs="David"/>
      <w:i/>
      <w:iCs/>
      <w:noProof w:val="0"/>
      <w:sz w:val="24"/>
      <w:szCs w:val="24"/>
    </w:rPr>
  </w:style>
  <w:style w:type="paragraph" w:styleId="affff3">
    <w:name w:val="envelope address"/>
    <w:basedOn w:val="a1"/>
    <w:semiHidden/>
    <w:unhideWhenUsed/>
    <w:rsid w:val="00BB7B68"/>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BB7B68"/>
    <w:rPr>
      <w:rFonts w:asciiTheme="majorHAnsi" w:eastAsiaTheme="majorEastAsia" w:hAnsiTheme="majorHAnsi" w:cstheme="majorBidi"/>
      <w:sz w:val="20"/>
      <w:szCs w:val="20"/>
    </w:rPr>
  </w:style>
  <w:style w:type="paragraph" w:styleId="affff5">
    <w:name w:val="No Spacing"/>
    <w:uiPriority w:val="1"/>
    <w:qFormat/>
    <w:rsid w:val="00BB7B68"/>
    <w:pPr>
      <w:bidi/>
    </w:pPr>
    <w:rPr>
      <w:rFonts w:cs="David"/>
      <w:sz w:val="24"/>
      <w:szCs w:val="24"/>
    </w:rPr>
  </w:style>
  <w:style w:type="character" w:styleId="HTML4">
    <w:name w:val="HTML Typewriter"/>
    <w:basedOn w:val="a2"/>
    <w:semiHidden/>
    <w:unhideWhenUsed/>
    <w:rsid w:val="00BB7B68"/>
    <w:rPr>
      <w:rFonts w:ascii="Consolas" w:hAnsi="Consolas"/>
      <w:noProof w:val="0"/>
      <w:sz w:val="20"/>
      <w:szCs w:val="20"/>
    </w:rPr>
  </w:style>
  <w:style w:type="paragraph" w:styleId="affff6">
    <w:name w:val="Document Map"/>
    <w:basedOn w:val="a1"/>
    <w:link w:val="affff7"/>
    <w:semiHidden/>
    <w:unhideWhenUsed/>
    <w:rsid w:val="00BB7B68"/>
    <w:rPr>
      <w:rFonts w:ascii="Tahoma" w:hAnsi="Tahoma" w:cs="Tahoma"/>
      <w:sz w:val="16"/>
      <w:szCs w:val="16"/>
    </w:rPr>
  </w:style>
  <w:style w:type="character" w:customStyle="1" w:styleId="affff7">
    <w:name w:val="מפת מסמך תו"/>
    <w:basedOn w:val="a2"/>
    <w:link w:val="affff6"/>
    <w:semiHidden/>
    <w:rsid w:val="00BB7B68"/>
    <w:rPr>
      <w:rFonts w:ascii="Tahoma" w:hAnsi="Tahoma" w:cs="Tahoma"/>
      <w:noProof w:val="0"/>
      <w:sz w:val="16"/>
      <w:szCs w:val="16"/>
    </w:rPr>
  </w:style>
  <w:style w:type="character" w:styleId="HTML5">
    <w:name w:val="HTML Keyboard"/>
    <w:basedOn w:val="a2"/>
    <w:semiHidden/>
    <w:unhideWhenUsed/>
    <w:rsid w:val="00BB7B68"/>
    <w:rPr>
      <w:rFonts w:ascii="Consolas" w:hAnsi="Consolas"/>
      <w:noProof w:val="0"/>
      <w:sz w:val="20"/>
      <w:szCs w:val="20"/>
    </w:rPr>
  </w:style>
  <w:style w:type="paragraph" w:styleId="affff8">
    <w:name w:val="annotation subject"/>
    <w:basedOn w:val="a8"/>
    <w:next w:val="a8"/>
    <w:link w:val="affff9"/>
    <w:semiHidden/>
    <w:unhideWhenUsed/>
    <w:rsid w:val="00BB7B68"/>
    <w:rPr>
      <w:rFonts w:cs="David"/>
      <w:b/>
      <w:bCs/>
      <w:sz w:val="20"/>
      <w:szCs w:val="20"/>
    </w:rPr>
  </w:style>
  <w:style w:type="character" w:customStyle="1" w:styleId="a9">
    <w:name w:val="טקסט הערה תו"/>
    <w:basedOn w:val="a2"/>
    <w:link w:val="a8"/>
    <w:semiHidden/>
    <w:rsid w:val="00BB7B68"/>
    <w:rPr>
      <w:noProof w:val="0"/>
      <w:sz w:val="24"/>
      <w:szCs w:val="24"/>
    </w:rPr>
  </w:style>
  <w:style w:type="character" w:customStyle="1" w:styleId="affff9">
    <w:name w:val="נושא הערה תו"/>
    <w:basedOn w:val="a9"/>
    <w:link w:val="affff8"/>
    <w:semiHidden/>
    <w:rsid w:val="00BB7B68"/>
    <w:rPr>
      <w:rFonts w:cs="David"/>
      <w:b/>
      <w:bCs/>
      <w:noProof w:val="0"/>
      <w:sz w:val="24"/>
      <w:szCs w:val="24"/>
    </w:rPr>
  </w:style>
  <w:style w:type="table" w:styleId="affffa">
    <w:name w:val="Table Theme"/>
    <w:basedOn w:val="a3"/>
    <w:semiHidden/>
    <w:unhideWhenUsed/>
    <w:rsid w:val="00BB7B6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BB7B68"/>
    <w:pPr>
      <w:ind w:left="4252"/>
    </w:pPr>
  </w:style>
  <w:style w:type="character" w:customStyle="1" w:styleId="affffc">
    <w:name w:val="סיום תו"/>
    <w:basedOn w:val="a2"/>
    <w:link w:val="affffb"/>
    <w:semiHidden/>
    <w:rsid w:val="00BB7B68"/>
    <w:rPr>
      <w:rFonts w:cs="David"/>
      <w:noProof w:val="0"/>
      <w:sz w:val="24"/>
      <w:szCs w:val="24"/>
    </w:rPr>
  </w:style>
  <w:style w:type="table" w:styleId="1b">
    <w:name w:val="Table Columns 1"/>
    <w:basedOn w:val="a3"/>
    <w:semiHidden/>
    <w:unhideWhenUsed/>
    <w:rsid w:val="00BB7B68"/>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BB7B68"/>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BB7B68"/>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BB7B68"/>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BB7B68"/>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BB7B68"/>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BB7B68"/>
    <w:rPr>
      <w:rFonts w:cs="David"/>
      <w:i/>
      <w:iCs/>
      <w:noProof w:val="0"/>
      <w:color w:val="404040" w:themeColor="text1" w:themeTint="BF"/>
      <w:sz w:val="24"/>
      <w:szCs w:val="24"/>
    </w:rPr>
  </w:style>
  <w:style w:type="paragraph" w:styleId="afffff">
    <w:name w:val="Intense Quote"/>
    <w:basedOn w:val="a1"/>
    <w:next w:val="a1"/>
    <w:link w:val="afffff0"/>
    <w:uiPriority w:val="30"/>
    <w:qFormat/>
    <w:rsid w:val="00BB7B6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BB7B68"/>
    <w:rPr>
      <w:rFonts w:cs="David"/>
      <w:i/>
      <w:iCs/>
      <w:noProof w:val="0"/>
      <w:color w:val="4F81BD" w:themeColor="accent1"/>
      <w:sz w:val="24"/>
      <w:szCs w:val="24"/>
    </w:rPr>
  </w:style>
  <w:style w:type="character" w:styleId="HTML6">
    <w:name w:val="HTML Acronym"/>
    <w:basedOn w:val="a2"/>
    <w:semiHidden/>
    <w:unhideWhenUsed/>
    <w:rsid w:val="00BB7B68"/>
    <w:rPr>
      <w:noProof w:val="0"/>
    </w:rPr>
  </w:style>
  <w:style w:type="paragraph" w:styleId="afffff1">
    <w:name w:val="List"/>
    <w:basedOn w:val="a1"/>
    <w:semiHidden/>
    <w:unhideWhenUsed/>
    <w:rsid w:val="00BB7B68"/>
    <w:pPr>
      <w:ind w:left="283" w:hanging="283"/>
      <w:contextualSpacing/>
    </w:pPr>
  </w:style>
  <w:style w:type="paragraph" w:styleId="2f4">
    <w:name w:val="List 2"/>
    <w:basedOn w:val="a1"/>
    <w:semiHidden/>
    <w:unhideWhenUsed/>
    <w:rsid w:val="00BB7B68"/>
    <w:pPr>
      <w:ind w:left="566" w:hanging="283"/>
      <w:contextualSpacing/>
    </w:pPr>
  </w:style>
  <w:style w:type="paragraph" w:styleId="3f0">
    <w:name w:val="List 3"/>
    <w:basedOn w:val="a1"/>
    <w:semiHidden/>
    <w:unhideWhenUsed/>
    <w:rsid w:val="00BB7B68"/>
    <w:pPr>
      <w:ind w:left="849" w:hanging="283"/>
      <w:contextualSpacing/>
    </w:pPr>
  </w:style>
  <w:style w:type="paragraph" w:styleId="48">
    <w:name w:val="List 4"/>
    <w:basedOn w:val="a1"/>
    <w:rsid w:val="00BB7B68"/>
    <w:pPr>
      <w:ind w:left="1132" w:hanging="283"/>
      <w:contextualSpacing/>
    </w:pPr>
  </w:style>
  <w:style w:type="paragraph" w:styleId="58">
    <w:name w:val="List 5"/>
    <w:basedOn w:val="a1"/>
    <w:rsid w:val="00BB7B68"/>
    <w:pPr>
      <w:ind w:left="1415" w:hanging="283"/>
      <w:contextualSpacing/>
    </w:pPr>
  </w:style>
  <w:style w:type="table" w:styleId="afffff2">
    <w:name w:val="Light List"/>
    <w:basedOn w:val="a3"/>
    <w:uiPriority w:val="61"/>
    <w:semiHidden/>
    <w:unhideWhenUsed/>
    <w:rsid w:val="00BB7B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BB7B6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BB7B6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BB7B6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BB7B6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BB7B6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BB7B6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BB7B68"/>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BB7B68"/>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BB7B68"/>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BB7B68"/>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BB7B68"/>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BB7B68"/>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BB7B68"/>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BB7B68"/>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BB7B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BB7B6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BB7B6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BB7B6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BB7B6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BB7B6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BB7B6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BB7B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B7B6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BB7B6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BB7B6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BB7B6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BB7B6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BB7B6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BB7B68"/>
    <w:pPr>
      <w:numPr>
        <w:numId w:val="2"/>
      </w:numPr>
      <w:contextualSpacing/>
    </w:pPr>
  </w:style>
  <w:style w:type="paragraph" w:styleId="2">
    <w:name w:val="List Number 2"/>
    <w:basedOn w:val="a1"/>
    <w:semiHidden/>
    <w:unhideWhenUsed/>
    <w:rsid w:val="00BB7B68"/>
    <w:pPr>
      <w:numPr>
        <w:numId w:val="3"/>
      </w:numPr>
      <w:contextualSpacing/>
    </w:pPr>
  </w:style>
  <w:style w:type="paragraph" w:styleId="3">
    <w:name w:val="List Number 3"/>
    <w:basedOn w:val="a1"/>
    <w:semiHidden/>
    <w:unhideWhenUsed/>
    <w:rsid w:val="00BB7B68"/>
    <w:pPr>
      <w:numPr>
        <w:numId w:val="4"/>
      </w:numPr>
      <w:contextualSpacing/>
    </w:pPr>
  </w:style>
  <w:style w:type="paragraph" w:styleId="4">
    <w:name w:val="List Number 4"/>
    <w:basedOn w:val="a1"/>
    <w:semiHidden/>
    <w:unhideWhenUsed/>
    <w:rsid w:val="00BB7B68"/>
    <w:pPr>
      <w:numPr>
        <w:numId w:val="5"/>
      </w:numPr>
      <w:contextualSpacing/>
    </w:pPr>
  </w:style>
  <w:style w:type="paragraph" w:styleId="5">
    <w:name w:val="List Number 5"/>
    <w:basedOn w:val="a1"/>
    <w:semiHidden/>
    <w:unhideWhenUsed/>
    <w:rsid w:val="00BB7B68"/>
    <w:pPr>
      <w:numPr>
        <w:numId w:val="6"/>
      </w:numPr>
      <w:contextualSpacing/>
    </w:pPr>
  </w:style>
  <w:style w:type="paragraph" w:styleId="a0">
    <w:name w:val="List Bullet"/>
    <w:basedOn w:val="a1"/>
    <w:semiHidden/>
    <w:unhideWhenUsed/>
    <w:rsid w:val="00BB7B68"/>
    <w:pPr>
      <w:numPr>
        <w:numId w:val="7"/>
      </w:numPr>
      <w:contextualSpacing/>
    </w:pPr>
  </w:style>
  <w:style w:type="paragraph" w:styleId="20">
    <w:name w:val="List Bullet 2"/>
    <w:basedOn w:val="a1"/>
    <w:semiHidden/>
    <w:unhideWhenUsed/>
    <w:rsid w:val="00BB7B68"/>
    <w:pPr>
      <w:numPr>
        <w:numId w:val="8"/>
      </w:numPr>
      <w:contextualSpacing/>
    </w:pPr>
  </w:style>
  <w:style w:type="paragraph" w:styleId="30">
    <w:name w:val="List Bullet 3"/>
    <w:basedOn w:val="a1"/>
    <w:semiHidden/>
    <w:unhideWhenUsed/>
    <w:rsid w:val="00BB7B68"/>
    <w:pPr>
      <w:numPr>
        <w:numId w:val="9"/>
      </w:numPr>
      <w:contextualSpacing/>
    </w:pPr>
  </w:style>
  <w:style w:type="paragraph" w:styleId="40">
    <w:name w:val="List Bullet 4"/>
    <w:basedOn w:val="a1"/>
    <w:semiHidden/>
    <w:unhideWhenUsed/>
    <w:rsid w:val="00BB7B68"/>
    <w:pPr>
      <w:numPr>
        <w:numId w:val="10"/>
      </w:numPr>
      <w:contextualSpacing/>
    </w:pPr>
  </w:style>
  <w:style w:type="paragraph" w:styleId="50">
    <w:name w:val="List Bullet 5"/>
    <w:basedOn w:val="a1"/>
    <w:semiHidden/>
    <w:unhideWhenUsed/>
    <w:rsid w:val="00BB7B68"/>
    <w:pPr>
      <w:numPr>
        <w:numId w:val="11"/>
      </w:numPr>
      <w:contextualSpacing/>
    </w:pPr>
  </w:style>
  <w:style w:type="table" w:styleId="afffff4">
    <w:name w:val="Colorful List"/>
    <w:basedOn w:val="a3"/>
    <w:uiPriority w:val="72"/>
    <w:semiHidden/>
    <w:unhideWhenUsed/>
    <w:rsid w:val="00BB7B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BB7B6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BB7B6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BB7B6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BB7B6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BB7B6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BB7B6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BB7B68"/>
  </w:style>
  <w:style w:type="paragraph" w:styleId="afffff6">
    <w:name w:val="table of authorities"/>
    <w:basedOn w:val="a1"/>
    <w:next w:val="a1"/>
    <w:semiHidden/>
    <w:unhideWhenUsed/>
    <w:rsid w:val="00BB7B68"/>
    <w:pPr>
      <w:ind w:left="240" w:hanging="240"/>
    </w:pPr>
  </w:style>
  <w:style w:type="table" w:styleId="afffff7">
    <w:name w:val="Light Grid"/>
    <w:basedOn w:val="a3"/>
    <w:uiPriority w:val="62"/>
    <w:semiHidden/>
    <w:unhideWhenUsed/>
    <w:rsid w:val="00BB7B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BB7B6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BB7B6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BB7B6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BB7B6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BB7B6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BB7B6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BB7B6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BB7B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BB7B6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BB7B6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BB7B6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BB7B6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BB7B6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BB7B6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BB7B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BB7B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BB7B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BB7B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BB7B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BB7B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BB7B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BB7B68"/>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BB7B68"/>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BB7B68"/>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BB7B68"/>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BB7B68"/>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BB7B68"/>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BB7B68"/>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BB7B68"/>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BB7B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BB7B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BB7B6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BB7B6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BB7B6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BB7B6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BB7B6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BB7B6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BB7B68"/>
  </w:style>
  <w:style w:type="character" w:customStyle="1" w:styleId="afffffb">
    <w:name w:val="תאריך תו"/>
    <w:basedOn w:val="a2"/>
    <w:link w:val="afffffa"/>
    <w:rsid w:val="00BB7B68"/>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49576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xml version="1.0" encoding="utf-8"?>
<DecisionTemplateDS>
  <dt_Decision>
    <DecisionID>0</DecisionID>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נאדר כבהא</FullName>
        <FirstName>נאדר</FirstName>
        <LastName>כבהא</LastName>
        <PartyPropertyName/>
        <AuthenticationTypeAndNumber>מ.ר. 26930</AuthenticationTypeAndNumber>
        <RepresentatedOrRepresentativesNames>סברין בסט</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263429807</CasePartyID>
        <PartyTypeID>2</PartyTypeID>
        <ActivityStatusID>1</ActivityStatusID>
        <PartyAliasID>21</PartyAliasID>
        <PartyAliasName>בא כוח נתבעים</PartyAliasName>
        <LegalEntityID>402668</LegalEntityID>
        <CaseLegalEntityID>126909258</CaseLegalEntityID>
        <AuthenticationTypeID>4</AuthenticationTypeID>
        <AuthenticationTypeName>מ.ר.</AuthenticationTypeName>
        <LegalEntityNumber>26930</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באקה אל-גרביה ת.ד 519</FullAddress>
        <EmailAddress>nader.advocat@gmail.com</EmailAddress>
        <MotionID>0</MotionID>
        <CasePleaID>0</CasePleaID>
        <FatherName xml:space="preserve">        </FatherName>
        <LinkedCaseID>0</LinkedCaseID>
        <PartyID>2</PartyID>
        <CasePartyCategoryID>2</CasePartyCategoryID>
        <LegalEntityAddressID>445650</LegalEntityAddressID>
        <LegalEntityEmailAddressID>67909229</LegalEntityEmailAddressID>
        <PleaTypeID>4</PleaTypeID>
        <LawyerOfficeName>משרד עו"ד: נאדר כבהא</LawyerOfficeName>
        <LawyerOfficeID>443312</LawyerOfficeID>
        <GroupPartyAlias/>
        <IsConverted>false</IsConverted>
        <LegalEntityNameID>23652</LegalEntityNameID>
        <RepresentatedNamesOfAssistant/>
        <LegalEntityTypeID>4</LegalEntityTypeID>
        <IsVerdictExists>false</IsVerdictExists>
        <IsAsirAzir>false</IsAsirAzir>
        <MainAndSecSpec/>
        <IsPublicationProhibited>false</IsPublicationProhibited>
        <PublicationProhibitedFullName>נאדר כבהא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מוחמד גרה</FullName>
        <FirstName>מוחמד</FirstName>
        <LastName>גרה</LastName>
        <PartyPropertyName/>
        <AuthenticationTypeAndNumber>מ.ר. 42353</AuthenticationTypeAndNumber>
        <RepresentatedOrRepresentativesNames>סברין בסט</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258373651</CasePartyID>
        <PartyTypeID>2</PartyTypeID>
        <ActivityStatusID>1</ActivityStatusID>
        <PartyAliasID>21</PartyAliasID>
        <PartyAliasName>בא כוח נתבעים</PartyAliasName>
        <LegalEntityID>418441</LegalEntityID>
        <CaseLegalEntityID>125174200</CaseLegalEntityID>
        <AuthenticationTypeID>4</AuthenticationTypeID>
        <AuthenticationTypeName>מ.ר.</AuthenticationTypeName>
        <LegalEntityNumber>42353</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ת.ד 210 ג'ת תאור כתובת: ת.ד 210  ג'ת במשולש יישוב: ג'ת</FullAddress>
        <MotionID>0</MotionID>
        <CasePleaID>0</CasePleaID>
        <LinkedCaseID>0</LinkedCaseID>
        <PartyID>2</PartyID>
        <CasePartyCategoryID>2</CasePartyCategoryID>
        <LegalEntityAddressID>72782398</LegalEntityAddressID>
        <PleaTypeID>4</PleaTypeID>
        <LawyerOfficeName>משרד עו"ד: מוחמד גרה</LawyerOfficeName>
        <LawyerOfficeID>459085</LawyerOfficeID>
        <GroupPartyAlias/>
        <IsConverted>false</IsConverted>
        <LegalEntityNameID>39425</LegalEntityNameID>
        <RepresentatedNamesOfAssistant/>
        <LegalEntityTypeID>4</LegalEntityTypeID>
        <IsVerdictExists>false</IsVerdictExists>
        <IsAsirAzir>false</IsAsirAzir>
        <MainAndSecSpec/>
        <IsPublicationProhibited>false</IsPublicationProhibited>
        <PublicationProhibitedFullName>מוחמד גרה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זוהיר גנאיים</FullName>
        <FirstName>זוהיר</FirstName>
        <LastName>גנאים</LastName>
        <PartyPropertyName/>
        <AuthenticationTypeAndNumber>ת"ז 023381106</AuthenticationTypeAndNumber>
        <RepresentatedOrRepresentativesNames>אחמד מחאג'נה</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257382599</CasePartyID>
        <PartyTypeID>1</PartyTypeID>
        <ActivityStatusID>1</ActivityStatusID>
        <PartyAliasID>1</PartyAliasID>
        <PartyAliasName>תובע</PartyAliasName>
        <OrdinalNumber>1</OrdinalNumber>
        <LegalEntityID>6129505</LegalEntityID>
        <CaseLegalEntityID>124876128</CaseLegalEntityID>
        <AuthenticationTypeID>1</AuthenticationTypeID>
        <AuthenticationTypeName>ת"ז</AuthenticationTypeName>
        <LegalEntityNumber>023381106</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באקה אל-גרביה </FullAddress>
        <MotionID>0</MotionID>
        <CasePleaID>0</CasePleaID>
        <FatherName>אחמד</FatherName>
        <LinkedCaseID>0</LinkedCaseID>
        <PartyID>1</PartyID>
        <CasePartyCategoryID>2</CasePartyCategoryID>
        <LegalEntityAddressID>88079582</LegalEntityAddressID>
        <PleaTypeID>4</PleaTypeID>
        <GroupPartyAlias>תובעים</GroupPartyAlias>
        <IsConverted>false</IsConverted>
        <LegalEntityRegisteredNameID>3579792</LegalEntityRegisteredNameID>
        <LegalEntityNameID>95064195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זוהיר גנאיים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אחמד מחאג'נה</FullName>
        <FirstName>אחמד</FirstName>
        <LastName>מחאג'נה</LastName>
        <PartyPropertyName/>
        <AuthenticationTypeAndNumber>מ.ר. 59431</AuthenticationTypeAndNumber>
        <RepresentatedOrRepresentativesNames>זוהיר גנאיים</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257382600</CasePartyID>
        <PartyTypeID>2</PartyTypeID>
        <ActivityStatusID>1</ActivityStatusID>
        <PartyAliasID>20</PartyAliasID>
        <PartyAliasName>בא כוח תובעים</PartyAliasName>
        <OrdinalNumber>1</OrdinalNumber>
        <LegalEntityID>71017946</LegalEntityID>
        <CaseLegalEntityID>124876129</CaseLegalEntityID>
        <AuthenticationTypeID>4</AuthenticationTypeID>
        <AuthenticationTypeName>מ.ר.</AuthenticationTypeName>
        <LegalEntityNumber>59431</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ת.ד 865 אום אל-פחם ת.ד 865</FullAddress>
        <EmailAddress>adv.ahmadma@gmail.com</EmailAddress>
        <MotionID>0</MotionID>
        <CasePleaID>0</CasePleaID>
        <LinkedCaseID>0</LinkedCaseID>
        <PartyID>1</PartyID>
        <CasePartyCategoryID>2</CasePartyCategoryID>
        <LegalEntityAddressID>78433017</LegalEntityAddressID>
        <LegalEntityEmailAddressID>67848813</LegalEntityEmailAddressID>
        <PleaTypeID>4</PleaTypeID>
        <LawyerOfficeName>אחמד מחאג'נה-משרד עו"ד</LawyerOfficeName>
        <LawyerOfficeID>71017947</LawyerOfficeID>
        <GroupPartyAlias/>
        <IsConverted>false</IsConverted>
        <LegalEntityNameID>73868142</LegalEntityNameID>
        <RepresentatedNamesOfAssistant/>
        <LegalEntityTypeID>4</LegalEntityTypeID>
        <IsVerdictExists>false</IsVerdictExists>
        <IsAsirAzir>false</IsAsirAzir>
        <MainAndSecSpec/>
        <IsPublicationProhibited>false</IsPublicationProhibited>
        <PublicationProhibitedFullName>אחמד מחאג'נה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סברין בסט</FullName>
        <FirstName>סברין</FirstName>
        <LastName>בסט</LastName>
        <PartyPropertyName/>
        <AuthenticationTypeAndNumber>ת"ז 040510513</AuthenticationTypeAndNumber>
        <RepresentatedOrRepresentativesNames>מוחמד גרה, נאדר כבהא</RepresentatedOrRepresentativesNames>
        <RepresentatedOrRepresentativesCount>2</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257382601</CasePartyID>
        <PartyTypeID>1</PartyTypeID>
        <ActivityStatusID>1</ActivityStatusID>
        <PartyAliasID>2</PartyAliasID>
        <PartyAliasName>נתבע</PartyAliasName>
        <OrdinalNumber>1</OrdinalNumber>
        <LegalEntityID>75618916</LegalEntityID>
        <CaseLegalEntityID>124876130</CaseLegalEntityID>
        <AuthenticationTypeID>1</AuthenticationTypeID>
        <AuthenticationTypeName>ת"ז</AuthenticationTypeName>
        <LegalEntityNumber>040510513</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באקה אל-גרביה </FullAddress>
        <MotionID>0</MotionID>
        <CasePleaID>0</CasePleaID>
        <FatherName>סאבר</FatherName>
        <LinkedCaseID>0</LinkedCaseID>
        <PartyID>2</PartyID>
        <CasePartyCategoryID>2</CasePartyCategoryID>
        <LegalEntityAddressID>88079583</LegalEntityAddressID>
        <PleaTypeID>4</PleaTypeID>
        <GroupPartyAlias>נתבעים</GroupPartyAlias>
        <IsConverted>false</IsConverted>
        <LegalEntityRegisteredNameID>9257152</LegalEntityRegisteredNameID>
        <LegalEntityNameID>95064196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סברין בסט</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2024-08-20T14:46:39.520014+03:00</DecisionSignatureDate>
    <OpenCaseDate>2023-06-21T16:07:00+03:00</OpenCaseDate>
    <CaseFeeSum>478711.000</CaseFeeSum>
    <DecisionTypeID>2</DecisionTypeID>
    <DecisionSignatureUserName>הילה גורביץ עובדיה</DecisionSignatureUserName>
    <DecisionSignatureDateHebrew>2024-08-20T14:46:39.520014+03:00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גנאים נ' גנאים</CaseName>
    <DecisionNumberInCase>16</DecisionNumberInCase>
  </dt_Decision>
  <dt_DecisionCase>
    <DecisionID>0</DecisionID>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נאדר כבהא</FullName>
        <FirstName>נאדר</FirstName>
        <LastName>כבהא</LastName>
        <PartyPropertyName/>
        <AuthenticationTypeAndNumber>מ.ר. 26930</AuthenticationTypeAndNumber>
        <RepresentatedOrRepresentativesNames>סברין בסט</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263429807</CasePartyID>
        <PartyTypeID>2</PartyTypeID>
        <ActivityStatusID>1</ActivityStatusID>
        <PartyAliasID>21</PartyAliasID>
        <PartyAliasName>בא כוח נתבעים</PartyAliasName>
        <LegalEntityID>402668</LegalEntityID>
        <CaseLegalEntityID>126909258</CaseLegalEntityID>
        <AuthenticationTypeID>4</AuthenticationTypeID>
        <AuthenticationTypeName>מ.ר.</AuthenticationTypeName>
        <LegalEntityNumber>26930</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באקה אל-גרביה ת.ד 519</FullAddress>
        <EmailAddress>nader.advocat@gmail.com</EmailAddress>
        <MotionID>0</MotionID>
        <CasePleaID>0</CasePleaID>
        <FatherName xml:space="preserve">        </FatherName>
        <LinkedCaseID>0</LinkedCaseID>
        <PartyID>2</PartyID>
        <CasePartyCategoryID>2</CasePartyCategoryID>
        <LegalEntityAddressID>445650</LegalEntityAddressID>
        <LegalEntityEmailAddressID>67909229</LegalEntityEmailAddressID>
        <PleaTypeID>4</PleaTypeID>
        <LawyerOfficeName>משרד עו"ד: נאדר כבהא</LawyerOfficeName>
        <LawyerOfficeID>443312</LawyerOfficeID>
        <GroupPartyAlias/>
        <IsConverted>false</IsConverted>
        <LegalEntityNameID>23652</LegalEntityNameID>
        <RepresentatedNamesOfAssistant/>
        <LegalEntityTypeID>4</LegalEntityTypeID>
        <IsVerdictExists>false</IsVerdictExists>
        <IsAsirAzir>false</IsAsirAzir>
        <MainAndSecSpec/>
        <IsPublicationProhibited>false</IsPublicationProhibited>
        <PublicationProhibitedFullName>נאדר כבהא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מוחמד גרה</FullName>
        <FirstName>מוחמד</FirstName>
        <LastName>גרה</LastName>
        <PartyPropertyName/>
        <AuthenticationTypeAndNumber>מ.ר. 42353</AuthenticationTypeAndNumber>
        <RepresentatedOrRepresentativesNames>סברין בסט</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258373651</CasePartyID>
        <PartyTypeID>2</PartyTypeID>
        <ActivityStatusID>1</ActivityStatusID>
        <PartyAliasID>21</PartyAliasID>
        <PartyAliasName>בא כוח נתבעים</PartyAliasName>
        <LegalEntityID>418441</LegalEntityID>
        <CaseLegalEntityID>125174200</CaseLegalEntityID>
        <AuthenticationTypeID>4</AuthenticationTypeID>
        <AuthenticationTypeName>מ.ר.</AuthenticationTypeName>
        <LegalEntityNumber>42353</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ת.ד 210 ג'ת תאור כתובת: ת.ד 210  ג'ת במשולש יישוב: ג'ת</FullAddress>
        <MotionID>0</MotionID>
        <CasePleaID>0</CasePleaID>
        <LinkedCaseID>0</LinkedCaseID>
        <PartyID>2</PartyID>
        <CasePartyCategoryID>2</CasePartyCategoryID>
        <LegalEntityAddressID>72782398</LegalEntityAddressID>
        <PleaTypeID>4</PleaTypeID>
        <LawyerOfficeName>משרד עו"ד: מוחמד גרה</LawyerOfficeName>
        <LawyerOfficeID>459085</LawyerOfficeID>
        <GroupPartyAlias/>
        <IsConverted>false</IsConverted>
        <LegalEntityNameID>39425</LegalEntityNameID>
        <RepresentatedNamesOfAssistant/>
        <LegalEntityTypeID>4</LegalEntityTypeID>
        <IsVerdictExists>false</IsVerdictExists>
        <IsAsirAzir>false</IsAsirAzir>
        <MainAndSecSpec/>
        <IsPublicationProhibited>false</IsPublicationProhibited>
        <PublicationProhibitedFullName>מוחמד גרה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זוהיר גנאיים</FullName>
        <FirstName>זוהיר</FirstName>
        <LastName>גנאים</LastName>
        <PartyPropertyName/>
        <AuthenticationTypeAndNumber>ת"ז 023381106</AuthenticationTypeAndNumber>
        <RepresentatedOrRepresentativesNames>אחמד מחאג'נה</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257382599</CasePartyID>
        <PartyTypeID>1</PartyTypeID>
        <ActivityStatusID>1</ActivityStatusID>
        <PartyAliasID>1</PartyAliasID>
        <PartyAliasName>תובע</PartyAliasName>
        <OrdinalNumber>1</OrdinalNumber>
        <LegalEntityID>6129505</LegalEntityID>
        <CaseLegalEntityID>124876128</CaseLegalEntityID>
        <AuthenticationTypeID>1</AuthenticationTypeID>
        <AuthenticationTypeName>ת"ז</AuthenticationTypeName>
        <LegalEntityNumber>023381106</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באקה אל-גרביה </FullAddress>
        <MotionID>0</MotionID>
        <CasePleaID>0</CasePleaID>
        <FatherName>אחמד</FatherName>
        <LinkedCaseID>0</LinkedCaseID>
        <PartyID>1</PartyID>
        <CasePartyCategoryID>2</CasePartyCategoryID>
        <LegalEntityAddressID>88079582</LegalEntityAddressID>
        <PleaTypeID>4</PleaTypeID>
        <GroupPartyAlias>תובעים</GroupPartyAlias>
        <IsConverted>false</IsConverted>
        <LegalEntityRegisteredNameID>3579792</LegalEntityRegisteredNameID>
        <LegalEntityNameID>95064195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זוהיר גנאיים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אחמד מחאג'נה</FullName>
        <FirstName>אחמד</FirstName>
        <LastName>מחאג'נה</LastName>
        <PartyPropertyName/>
        <AuthenticationTypeAndNumber>מ.ר. 59431</AuthenticationTypeAndNumber>
        <RepresentatedOrRepresentativesNames>זוהיר גנאיים</RepresentatedOrRepresentativesNames>
        <RepresentatedOrRepresentativesCount>1</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257382600</CasePartyID>
        <PartyTypeID>2</PartyTypeID>
        <ActivityStatusID>1</ActivityStatusID>
        <PartyAliasID>20</PartyAliasID>
        <PartyAliasName>בא כוח תובעים</PartyAliasName>
        <OrdinalNumber>1</OrdinalNumber>
        <LegalEntityID>71017946</LegalEntityID>
        <CaseLegalEntityID>124876129</CaseLegalEntityID>
        <AuthenticationTypeID>4</AuthenticationTypeID>
        <AuthenticationTypeName>מ.ר.</AuthenticationTypeName>
        <LegalEntityNumber>59431</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ת.ד 865 אום אל-פחם ת.ד 865</FullAddress>
        <EmailAddress>adv.ahmadma@gmail.com</EmailAddress>
        <MotionID>0</MotionID>
        <CasePleaID>0</CasePleaID>
        <LinkedCaseID>0</LinkedCaseID>
        <PartyID>1</PartyID>
        <CasePartyCategoryID>2</CasePartyCategoryID>
        <LegalEntityAddressID>78433017</LegalEntityAddressID>
        <LegalEntityEmailAddressID>67848813</LegalEntityEmailAddressID>
        <PleaTypeID>4</PleaTypeID>
        <LawyerOfficeName>אחמד מחאג'נה-משרד עו"ד</LawyerOfficeName>
        <LawyerOfficeID>71017947</LawyerOfficeID>
        <GroupPartyAlias/>
        <IsConverted>false</IsConverted>
        <LegalEntityNameID>73868142</LegalEntityNameID>
        <RepresentatedNamesOfAssistant/>
        <LegalEntityTypeID>4</LegalEntityTypeID>
        <IsVerdictExists>false</IsVerdictExists>
        <IsAsirAzir>false</IsAsirAzir>
        <MainAndSecSpec/>
        <IsPublicationProhibited>false</IsPublicationProhibited>
        <PublicationProhibitedFullName>אחמד מחאג'נה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סברין בסט</FullName>
        <FirstName>סברין</FirstName>
        <LastName>בסט</LastName>
        <PartyPropertyName/>
        <AuthenticationTypeAndNumber>ת"ז 040510513</AuthenticationTypeAndNumber>
        <RepresentatedOrRepresentativesNames>מוחמד גרה, נאדר כבהא</RepresentatedOrRepresentativesNames>
        <RepresentatedOrRepresentativesCount>2</RepresentatedOrRepresentativesCount>
        <InvitedBy/>
        <CaseID>80367055</CaseID>
        <CaseJudicialPersonPresentationDS>
          <CaseJudicalPersonActive>
            <CaseID>80367055</CaseID>
            <JudicialPersonID>028651073@GOV.IL</JudicialPersonID>
            <JudicialPersonTypeID>1</JudicialPersonTypeID>
            <JudicialTypeID>1</JudicialTypeID>
            <IsChairman>false</IsChairman>
            <TreatmentStartDate>2023-06-22T10:20:13.653+03:00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257382601</CasePartyID>
        <PartyTypeID>1</PartyTypeID>
        <ActivityStatusID>1</ActivityStatusID>
        <PartyAliasID>2</PartyAliasID>
        <PartyAliasName>נתבע</PartyAliasName>
        <OrdinalNumber>1</OrdinalNumber>
        <LegalEntityID>75618916</LegalEntityID>
        <CaseLegalEntityID>124876130</CaseLegalEntityID>
        <AuthenticationTypeID>1</AuthenticationTypeID>
        <AuthenticationTypeName>ת"ז</AuthenticationTypeName>
        <LegalEntityNumber>040510513</LegalEntityNumber>
        <IsMainPartyType>true</IsMainPartyType>
        <CaseDisplayIdentifier>53964-06-23</CaseDisplayIdentifier>
        <CaseTypeID>10262</CaseTypeID>
        <CaseTypeName>תביעה לאחר הסדר התדיינויות במשפחה (תלה"מ)</CaseTypeName>
        <CaseName>גנאים נ' גנאים</CaseName>
        <FullAddress>באקה אל-גרביה </FullAddress>
        <MotionID>0</MotionID>
        <CasePleaID>0</CasePleaID>
        <FatherName>סאבר</FatherName>
        <LinkedCaseID>0</LinkedCaseID>
        <PartyID>2</PartyID>
        <CasePartyCategoryID>2</CasePartyCategoryID>
        <LegalEntityAddressID>88079583</LegalEntityAddressID>
        <PleaTypeID>4</PleaTypeID>
        <GroupPartyAlias>נתבעים</GroupPartyAlias>
        <IsConverted>false</IsConverted>
        <LegalEntityRegisteredNameID>9257152</LegalEntityRegisteredNameID>
        <LegalEntityNameID>95064196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סברין בסט</PublicationProhibitedFullName>
      </CaseParties>
    </CasePartiesSelectionDS>
    <CaseName>גנאים נ' גנאים</CaseName>
    <CaseDisplayIdentifier>53964-06-23</CaseDisplayIdentifier>
    <CaseInterestID>10512</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04-6281869</Fax>
    <Phone>04-6281869</Phone>
    <AddressDesc>תאור כתובת: ת.ד 210  ג'ת במשולש יישוב: ג'ת</AddressDesc>
    <PartyID>2</PartyID>
    <PartyTypeID>2</PartyTypeID>
    <DecisionID>0</DecisionID>
    <StreetName>ת.ד 210</StreetName>
    <ZipCode>30091</ZipCode>
    <CityName>ג'ת</CityName>
    <FullName>מוחמד גרה</FullName>
    <IsPublicationProhibited>false</IsPublicationProhibited>
  </dt_LegalEntityDetails>
  <dt_LegalEntityDetails>
    <Fax>04-6385766</Fax>
    <Phone>04-6385766</Phone>
    <AddressDesc>ת.ד 519</AddressDesc>
    <PartyID>2</PartyID>
    <PartyTypeID>2</PartyTypeID>
    <DecisionID>0</DecisionID>
    <StreetName xml:space="preserve">  </StreetName>
    <ZipCode>30100</ZipCode>
    <CityName>באקה אל-גרביה</CityName>
    <FullName>נאדר כבהא</FullName>
    <Email>nader.advocat@gmail.com</Email>
    <IsPublicationProhibited>false</IsPublicationProhibited>
  </dt_LegalEntityDetails>
  <dt_LegalEntityDetails>
    <PartyID>1</PartyID>
    <PartyTypeID>1</PartyTypeID>
    <DecisionID>0</DecisionID>
    <CityName>באקה אל-גרביה</CityName>
    <FullName>זוהיר גנאיים</FullName>
    <IsPublicationProhibited>false</IsPublicationProhibited>
  </dt_LegalEntityDetails>
  <dt_LegalEntityDetails>
    <Fax>04-6111449</Fax>
    <Phone>04-8211160</Phone>
    <AddressDesc>ת.ד 865</AddressDesc>
    <PartyID>1</PartyID>
    <PartyTypeID>2</PartyTypeID>
    <DecisionID>0</DecisionID>
    <StreetName>ת.ד 865</StreetName>
    <ZipCode>30010</ZipCode>
    <CityName>אום אל-פחם</CityName>
    <FullName>אחמד מחאג'נה</FullName>
    <Email>adv.ahmadma@gmail.com</Email>
    <IsPublicationProhibited>false</IsPublicationProhibited>
  </dt_LegalEntityDetails>
  <dt_LegalEntityDetails>
    <PartyID>2</PartyID>
    <PartyTypeID>1</PartyTypeID>
    <DecisionID>0</DecisionID>
    <CityName>באקה אל-גרביה</CityName>
    <FullName>סברין בסט</FullName>
    <IsPublicationProhibited>false</IsPublicationProhibited>
  </dt_LegalEntityDetails>
  <dt_CaseJudicalPersonActive>
    <CaseJudicalPerson>שופטת הילה גורביץ עובדיה</CaseJudicalPerson>
  </dt_CaseJudicalPersonActive>
  <dt_Sitting>
    <PreviousMeetingDate>2024-01-24T11:00:00+02:00</PreviousMeetingDate>
    <PreviousSittingTypeID>1</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5C208-2D9B-42EA-8F17-E552F17C9C5E}"/>
</file>

<file path=customXml/itemProps2.xml><?xml version="1.0" encoding="utf-8"?>
<ds:datastoreItem xmlns:ds="http://schemas.openxmlformats.org/officeDocument/2006/customXml" ds:itemID="{74B45020-4D72-4E34-A888-048850F01036}">
  <ds:schemaRefs/>
</ds:datastoreItem>
</file>

<file path=customXml/itemProps3.xml><?xml version="1.0" encoding="utf-8"?>
<ds:datastoreItem xmlns:ds="http://schemas.openxmlformats.org/officeDocument/2006/customXml" ds:itemID="{42E3EF74-F444-4EED-8186-B0058E24C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1575</Words>
  <Characters>7879</Characters>
  <Application>Microsoft Office Word</Application>
  <DocSecurity>4</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2024-10-30T11:34:00Z</dcterms:created>
  <dcterms:modified xsi:type="dcterms:W3CDTF">2024-10-30T11:34:00Z</dcterms:modified>
</cp:coreProperties>
</file>